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197" w:rsidRDefault="000341BF">
      <w:pPr>
        <w:spacing w:after="0" w:line="240" w:lineRule="auto"/>
        <w:jc w:val="both"/>
        <w:rPr>
          <w:rFonts w:ascii="Comic Sans MS" w:hAnsi="Comic Sans MS" w:cs="Times New Roman"/>
          <w:b/>
          <w:color w:val="0000FF"/>
        </w:rPr>
      </w:pPr>
      <w:r>
        <w:rPr>
          <w:rFonts w:ascii="Comic Sans MS" w:hAnsi="Comic Sans MS" w:cs="Times New Roman"/>
          <w:b/>
          <w:noProof/>
          <w:color w:val="0000FF"/>
          <w:lang w:eastAsia="fr-FR"/>
        </w:rPr>
        <w:drawing>
          <wp:inline distT="0" distB="0" distL="0" distR="0">
            <wp:extent cx="5759450" cy="687705"/>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59450" cy="688264"/>
                    </a:xfrm>
                    <a:prstGeom prst="rect">
                      <a:avLst/>
                    </a:prstGeom>
                    <a:noFill/>
                    <a:ln>
                      <a:noFill/>
                    </a:ln>
                  </pic:spPr>
                </pic:pic>
              </a:graphicData>
            </a:graphic>
          </wp:inline>
        </w:drawing>
      </w:r>
    </w:p>
    <w:p w:rsidR="000B15DA" w:rsidRDefault="000B15DA">
      <w:pPr>
        <w:spacing w:after="0" w:line="240" w:lineRule="auto"/>
        <w:jc w:val="both"/>
        <w:rPr>
          <w:rFonts w:ascii="Comic Sans MS" w:hAnsi="Comic Sans MS" w:cs="Times New Roman"/>
          <w:b/>
          <w:color w:val="0000FF"/>
        </w:rPr>
      </w:pPr>
      <w:r>
        <w:rPr>
          <w:rFonts w:ascii="Comic Sans MS" w:hAnsi="Comic Sans MS" w:cs="Times New Roman"/>
          <w:b/>
          <w:color w:val="0000FF"/>
          <w:sz w:val="24"/>
          <w:szCs w:val="24"/>
          <w:lang w:eastAsia="fr-FR"/>
        </w:rPr>
        <w:pict>
          <v:rect id="_x0000_s1026" style="position:absolute;left:0;text-align:left;margin-left:-5pt;margin-top:5pt;width:469.95pt;height:56.6pt;z-index:251659264" filled="f" strokecolor="blue" strokeweight="1.5pt"/>
        </w:pict>
      </w:r>
    </w:p>
    <w:p w:rsidR="00913197" w:rsidRDefault="000341BF" w:rsidP="000B15DA">
      <w:pPr>
        <w:pStyle w:val="NormalWeb"/>
        <w:shd w:val="clear" w:color="auto" w:fill="FFFFFF"/>
        <w:spacing w:before="0" w:beforeAutospacing="0" w:after="0" w:afterAutospacing="0" w:line="360" w:lineRule="auto"/>
        <w:jc w:val="both"/>
        <w:rPr>
          <w:rFonts w:eastAsia="Segoe UI"/>
          <w:b/>
          <w:bCs/>
          <w:sz w:val="22"/>
          <w:szCs w:val="22"/>
        </w:rPr>
      </w:pPr>
      <w:r>
        <w:rPr>
          <w:rFonts w:eastAsia="Segoe UI"/>
          <w:b/>
          <w:bCs/>
          <w:color w:val="0000FF"/>
          <w:sz w:val="22"/>
          <w:szCs w:val="22"/>
          <w:shd w:val="clear" w:color="auto" w:fill="FFFFFF"/>
        </w:rPr>
        <w:t>Morbidité et mortalité associées aux dérivations ventriculaires externes en réanimation chirurgicale du Centre Hospitalier Universitaire Joseph Ravoahangy Andrianavalona</w:t>
      </w:r>
    </w:p>
    <w:p w:rsidR="00913197" w:rsidRDefault="00913197">
      <w:pPr>
        <w:spacing w:after="0" w:line="240" w:lineRule="auto"/>
        <w:jc w:val="both"/>
        <w:rPr>
          <w:rFonts w:ascii="Times New Roman" w:hAnsi="Times New Roman" w:cs="Times New Roman"/>
          <w:b/>
          <w:bCs/>
          <w:color w:val="0000FF"/>
          <w:lang w:val="en-US"/>
        </w:rPr>
      </w:pPr>
    </w:p>
    <w:p w:rsidR="000B15DA" w:rsidRDefault="000B15DA" w:rsidP="00D92D3F">
      <w:pPr>
        <w:spacing w:after="0" w:line="240" w:lineRule="auto"/>
        <w:ind w:left="110" w:hangingChars="50" w:hanging="110"/>
        <w:jc w:val="both"/>
        <w:rPr>
          <w:rFonts w:ascii="Times New Roman" w:hAnsi="Times New Roman" w:cs="Times New Roman"/>
          <w:b/>
          <w:bCs/>
          <w:color w:val="0000FF"/>
        </w:rPr>
      </w:pPr>
    </w:p>
    <w:p w:rsidR="00913197" w:rsidRDefault="000341BF" w:rsidP="00D92D3F">
      <w:pPr>
        <w:spacing w:after="0" w:line="240" w:lineRule="auto"/>
        <w:ind w:left="110" w:hangingChars="50" w:hanging="110"/>
        <w:jc w:val="both"/>
        <w:rPr>
          <w:rFonts w:ascii="Times New Roman" w:hAnsi="Times New Roman" w:cs="Times New Roman"/>
          <w:b/>
          <w:bCs/>
          <w:color w:val="0000FF"/>
          <w:vertAlign w:val="superscript"/>
        </w:rPr>
      </w:pPr>
      <w:r>
        <w:rPr>
          <w:rFonts w:ascii="Times New Roman" w:hAnsi="Times New Roman" w:cs="Times New Roman"/>
          <w:b/>
          <w:bCs/>
          <w:color w:val="0000FF"/>
        </w:rPr>
        <w:t>Rahanitriniaina NMP</w:t>
      </w:r>
      <w:r>
        <w:rPr>
          <w:rFonts w:ascii="Times New Roman" w:hAnsi="Times New Roman" w:cs="Times New Roman"/>
          <w:b/>
          <w:bCs/>
          <w:color w:val="0000FF"/>
          <w:vertAlign w:val="superscript"/>
        </w:rPr>
        <w:t>1</w:t>
      </w:r>
      <w:r>
        <w:rPr>
          <w:rFonts w:ascii="Times New Roman" w:hAnsi="Times New Roman" w:cs="Times New Roman"/>
          <w:b/>
          <w:bCs/>
          <w:color w:val="0000FF"/>
        </w:rPr>
        <w:t>, Rabenjarison F</w:t>
      </w:r>
      <w:r>
        <w:rPr>
          <w:rFonts w:ascii="Times New Roman" w:hAnsi="Times New Roman" w:cs="Times New Roman"/>
          <w:b/>
          <w:bCs/>
          <w:color w:val="0000FF"/>
          <w:vertAlign w:val="superscript"/>
        </w:rPr>
        <w:t>2</w:t>
      </w:r>
      <w:r>
        <w:rPr>
          <w:rFonts w:ascii="Times New Roman" w:hAnsi="Times New Roman" w:cs="Times New Roman"/>
          <w:b/>
          <w:bCs/>
          <w:color w:val="0000FF"/>
        </w:rPr>
        <w:t>, Bemora JS1</w:t>
      </w:r>
      <w:r>
        <w:rPr>
          <w:rFonts w:ascii="Times New Roman" w:hAnsi="Times New Roman" w:cs="Times New Roman"/>
          <w:b/>
          <w:bCs/>
          <w:color w:val="0000FF"/>
          <w:vertAlign w:val="superscript"/>
        </w:rPr>
        <w:t>3</w:t>
      </w:r>
      <w:r>
        <w:rPr>
          <w:rFonts w:ascii="Times New Roman" w:hAnsi="Times New Roman" w:cs="Times New Roman"/>
          <w:b/>
          <w:bCs/>
          <w:color w:val="0000FF"/>
        </w:rPr>
        <w:t>, Andrinomenjanahary MM</w:t>
      </w:r>
      <w:r>
        <w:rPr>
          <w:rFonts w:ascii="Times New Roman" w:hAnsi="Times New Roman" w:cs="Times New Roman"/>
          <w:b/>
          <w:bCs/>
          <w:color w:val="0000FF"/>
          <w:vertAlign w:val="superscript"/>
        </w:rPr>
        <w:t>1</w:t>
      </w:r>
      <w:r>
        <w:rPr>
          <w:rFonts w:ascii="Times New Roman" w:hAnsi="Times New Roman" w:cs="Times New Roman"/>
          <w:b/>
          <w:bCs/>
          <w:color w:val="0000FF"/>
        </w:rPr>
        <w:t>, Randriamizao HMR</w:t>
      </w:r>
      <w:r>
        <w:rPr>
          <w:rFonts w:ascii="Times New Roman" w:hAnsi="Times New Roman" w:cs="Times New Roman"/>
          <w:b/>
          <w:bCs/>
          <w:color w:val="0000FF"/>
          <w:vertAlign w:val="superscript"/>
        </w:rPr>
        <w:t>4</w:t>
      </w:r>
      <w:r>
        <w:rPr>
          <w:rFonts w:ascii="Times New Roman" w:hAnsi="Times New Roman" w:cs="Times New Roman"/>
          <w:b/>
          <w:bCs/>
          <w:color w:val="0000FF"/>
        </w:rPr>
        <w:t>, Rajaonera AT</w:t>
      </w:r>
      <w:r>
        <w:rPr>
          <w:rFonts w:ascii="Times New Roman" w:hAnsi="Times New Roman" w:cs="Times New Roman"/>
          <w:b/>
          <w:bCs/>
          <w:color w:val="0000FF"/>
          <w:vertAlign w:val="superscript"/>
        </w:rPr>
        <w:t>5</w:t>
      </w:r>
    </w:p>
    <w:p w:rsidR="00913197" w:rsidRDefault="00913197" w:rsidP="00D92D3F">
      <w:pPr>
        <w:spacing w:after="0" w:line="240" w:lineRule="auto"/>
        <w:ind w:left="110" w:hangingChars="50" w:hanging="110"/>
        <w:jc w:val="both"/>
        <w:rPr>
          <w:rFonts w:ascii="Times New Roman" w:hAnsi="Times New Roman" w:cs="Times New Roman"/>
          <w:b/>
          <w:bCs/>
          <w:color w:val="0000FF"/>
          <w:vertAlign w:val="superscript"/>
        </w:rPr>
      </w:pPr>
    </w:p>
    <w:p w:rsidR="00913197" w:rsidRDefault="000341BF">
      <w:pPr>
        <w:pStyle w:val="NormalWeb"/>
        <w:numPr>
          <w:ilvl w:val="0"/>
          <w:numId w:val="1"/>
        </w:numPr>
        <w:shd w:val="clear" w:color="auto" w:fill="FFFFFF"/>
        <w:spacing w:beforeAutospacing="0" w:afterAutospacing="0"/>
        <w:rPr>
          <w:rFonts w:eastAsia="Segoe UI"/>
          <w:i/>
          <w:iCs/>
          <w:sz w:val="20"/>
          <w:szCs w:val="20"/>
          <w:shd w:val="clear" w:color="auto" w:fill="FFFFFF"/>
        </w:rPr>
      </w:pPr>
      <w:r>
        <w:rPr>
          <w:rFonts w:eastAsia="Segoe UI"/>
          <w:i/>
          <w:iCs/>
          <w:sz w:val="20"/>
          <w:szCs w:val="20"/>
          <w:shd w:val="clear" w:color="auto" w:fill="FFFFFF"/>
        </w:rPr>
        <w:t>Service de Réanimation Chirurgicale, CHU Joseph Ravoahangy Andrianavalona, Antananarivo, Madagascar</w:t>
      </w:r>
    </w:p>
    <w:p w:rsidR="00913197" w:rsidRDefault="000341BF">
      <w:pPr>
        <w:pStyle w:val="NormalWeb"/>
        <w:numPr>
          <w:ilvl w:val="0"/>
          <w:numId w:val="2"/>
        </w:numPr>
        <w:shd w:val="clear" w:color="auto" w:fill="FFFFFF"/>
        <w:spacing w:beforeAutospacing="0" w:afterAutospacing="0"/>
        <w:rPr>
          <w:rFonts w:eastAsia="Segoe UI"/>
          <w:i/>
          <w:iCs/>
          <w:sz w:val="20"/>
          <w:szCs w:val="20"/>
          <w:shd w:val="clear" w:color="auto" w:fill="FFFFFF"/>
        </w:rPr>
      </w:pPr>
      <w:r>
        <w:rPr>
          <w:rFonts w:eastAsia="Segoe UI"/>
          <w:i/>
          <w:iCs/>
          <w:sz w:val="20"/>
          <w:szCs w:val="20"/>
          <w:shd w:val="clear" w:color="auto" w:fill="FFFFFF"/>
        </w:rPr>
        <w:t>Service de Réanimation, CHU Andohatapenaka, Antananarivo, Madagascar</w:t>
      </w:r>
    </w:p>
    <w:p w:rsidR="00913197" w:rsidRDefault="000341BF">
      <w:pPr>
        <w:pStyle w:val="NormalWeb"/>
        <w:numPr>
          <w:ilvl w:val="0"/>
          <w:numId w:val="2"/>
        </w:numPr>
        <w:shd w:val="clear" w:color="auto" w:fill="FFFFFF"/>
        <w:spacing w:beforeAutospacing="0" w:afterAutospacing="0"/>
        <w:rPr>
          <w:sz w:val="20"/>
          <w:szCs w:val="20"/>
        </w:rPr>
      </w:pPr>
      <w:r>
        <w:rPr>
          <w:rFonts w:eastAsia="Segoe UI"/>
          <w:i/>
          <w:iCs/>
          <w:sz w:val="20"/>
          <w:szCs w:val="20"/>
          <w:shd w:val="clear" w:color="auto" w:fill="FFFFFF"/>
        </w:rPr>
        <w:t>Service de Neurochirurgie, CHU Joseph Ravoahangy Andrianavalona, Antananarivo, Madagascar</w:t>
      </w:r>
    </w:p>
    <w:p w:rsidR="00913197" w:rsidRDefault="000341BF">
      <w:pPr>
        <w:pStyle w:val="NormalWeb"/>
        <w:numPr>
          <w:ilvl w:val="0"/>
          <w:numId w:val="2"/>
        </w:numPr>
        <w:shd w:val="clear" w:color="auto" w:fill="FFFFFF"/>
        <w:spacing w:beforeAutospacing="0" w:afterAutospacing="0"/>
        <w:rPr>
          <w:sz w:val="20"/>
          <w:szCs w:val="20"/>
        </w:rPr>
      </w:pPr>
      <w:r>
        <w:rPr>
          <w:rFonts w:eastAsia="Segoe UI"/>
          <w:i/>
          <w:iCs/>
          <w:sz w:val="20"/>
          <w:szCs w:val="20"/>
          <w:shd w:val="clear" w:color="auto" w:fill="FFFFFF"/>
        </w:rPr>
        <w:t>Faculté de Médecine de l’Université de Fianarantsoa, Madagascar</w:t>
      </w:r>
    </w:p>
    <w:p w:rsidR="00913197" w:rsidRDefault="000341BF">
      <w:pPr>
        <w:pStyle w:val="NormalWeb"/>
        <w:numPr>
          <w:ilvl w:val="0"/>
          <w:numId w:val="2"/>
        </w:numPr>
        <w:shd w:val="clear" w:color="auto" w:fill="FFFFFF"/>
        <w:spacing w:beforeAutospacing="0" w:afterAutospacing="0"/>
        <w:rPr>
          <w:rFonts w:eastAsia="Segoe UI"/>
          <w:sz w:val="20"/>
          <w:szCs w:val="20"/>
        </w:rPr>
      </w:pPr>
      <w:r>
        <w:rPr>
          <w:rFonts w:eastAsia="Segoe UI"/>
          <w:i/>
          <w:iCs/>
          <w:sz w:val="20"/>
          <w:szCs w:val="20"/>
          <w:shd w:val="clear" w:color="auto" w:fill="FFFFFF"/>
        </w:rPr>
        <w:t>Faculté de Médecine de l’Université d’Antananarivo, Madagascar</w:t>
      </w:r>
    </w:p>
    <w:p w:rsidR="00913197" w:rsidRDefault="00913197">
      <w:pPr>
        <w:pStyle w:val="NormalWeb"/>
        <w:shd w:val="clear" w:color="auto" w:fill="FFFFFF"/>
        <w:spacing w:beforeAutospacing="0" w:afterAutospacing="0"/>
        <w:rPr>
          <w:rStyle w:val="lev"/>
          <w:rFonts w:eastAsia="Segoe UI"/>
          <w:sz w:val="20"/>
          <w:szCs w:val="20"/>
          <w:shd w:val="clear" w:color="auto" w:fill="FFFFFF"/>
        </w:rPr>
      </w:pPr>
    </w:p>
    <w:p w:rsidR="00913197" w:rsidRDefault="000341BF">
      <w:pPr>
        <w:pStyle w:val="NormalWeb"/>
        <w:shd w:val="clear" w:color="auto" w:fill="FFFFFF"/>
        <w:spacing w:beforeAutospacing="0" w:afterAutospacing="0"/>
        <w:rPr>
          <w:rFonts w:eastAsia="Segoe UI"/>
          <w:b/>
          <w:bCs/>
          <w:sz w:val="20"/>
          <w:szCs w:val="20"/>
          <w:shd w:val="clear" w:color="auto" w:fill="FFFFFF"/>
        </w:rPr>
      </w:pPr>
      <w:r>
        <w:rPr>
          <w:rStyle w:val="lev"/>
          <w:rFonts w:eastAsia="Segoe UI"/>
          <w:sz w:val="20"/>
          <w:szCs w:val="20"/>
          <w:shd w:val="clear" w:color="auto" w:fill="FFFFFF"/>
        </w:rPr>
        <w:t>Auteur:</w:t>
      </w:r>
      <w:r>
        <w:rPr>
          <w:rFonts w:eastAsia="Segoe UI"/>
          <w:b/>
          <w:bCs/>
          <w:sz w:val="20"/>
          <w:szCs w:val="20"/>
          <w:shd w:val="clear" w:color="auto" w:fill="FFFFFF"/>
        </w:rPr>
        <w:t> </w:t>
      </w:r>
    </w:p>
    <w:p w:rsidR="00913197" w:rsidRDefault="000341BF">
      <w:pPr>
        <w:pStyle w:val="NormalWeb"/>
        <w:shd w:val="clear" w:color="auto" w:fill="FFFFFF"/>
        <w:spacing w:beforeAutospacing="0" w:afterAutospacing="0"/>
        <w:rPr>
          <w:rFonts w:eastAsia="Segoe UI"/>
          <w:sz w:val="20"/>
          <w:szCs w:val="20"/>
          <w:shd w:val="clear" w:color="auto" w:fill="FFFFFF"/>
        </w:rPr>
      </w:pPr>
      <w:r>
        <w:rPr>
          <w:rFonts w:eastAsia="Segoe UI"/>
          <w:sz w:val="20"/>
          <w:szCs w:val="20"/>
          <w:shd w:val="clear" w:color="auto" w:fill="FFFFFF"/>
        </w:rPr>
        <w:t>Rahanitriniaina Nadia Marie Philibertine</w:t>
      </w:r>
    </w:p>
    <w:p w:rsidR="00913197" w:rsidRDefault="000341BF">
      <w:pPr>
        <w:pStyle w:val="NormalWeb"/>
        <w:shd w:val="clear" w:color="auto" w:fill="FFFFFF"/>
        <w:spacing w:beforeAutospacing="0" w:afterAutospacing="0"/>
        <w:rPr>
          <w:rFonts w:eastAsia="Segoe UI"/>
          <w:sz w:val="20"/>
          <w:szCs w:val="20"/>
          <w:shd w:val="clear" w:color="auto" w:fill="FFFFFF"/>
        </w:rPr>
      </w:pPr>
      <w:r>
        <w:rPr>
          <w:rFonts w:eastAsia="Segoe UI"/>
          <w:sz w:val="20"/>
          <w:szCs w:val="20"/>
          <w:shd w:val="clear" w:color="auto" w:fill="FFFFFF"/>
        </w:rPr>
        <w:t>Service de Réanimation Chirurgicale, CHU Joseph Ravoahangy Andrianavalona, Antananarivo, Madagascar</w:t>
      </w:r>
    </w:p>
    <w:p w:rsidR="00913197" w:rsidRDefault="000341BF">
      <w:pPr>
        <w:pStyle w:val="NormalWeb"/>
        <w:shd w:val="clear" w:color="auto" w:fill="FFFFFF"/>
        <w:spacing w:beforeAutospacing="0" w:afterAutospacing="0"/>
        <w:rPr>
          <w:rFonts w:eastAsia="Segoe UI"/>
          <w:sz w:val="20"/>
          <w:szCs w:val="20"/>
          <w:shd w:val="clear" w:color="auto" w:fill="FFFFFF"/>
        </w:rPr>
      </w:pPr>
      <w:r>
        <w:rPr>
          <w:rFonts w:eastAsia="Segoe UI"/>
          <w:sz w:val="20"/>
          <w:szCs w:val="20"/>
          <w:shd w:val="clear" w:color="auto" w:fill="FFFFFF"/>
        </w:rPr>
        <w:t>Tel :+261349834491</w:t>
      </w:r>
    </w:p>
    <w:p w:rsidR="00913197" w:rsidRDefault="000341BF">
      <w:pPr>
        <w:pStyle w:val="NormalWeb"/>
        <w:shd w:val="clear" w:color="auto" w:fill="FFFFFF"/>
        <w:spacing w:beforeAutospacing="0" w:afterAutospacing="0"/>
        <w:rPr>
          <w:rFonts w:eastAsia="Segoe UI"/>
          <w:sz w:val="20"/>
          <w:szCs w:val="20"/>
          <w:shd w:val="clear" w:color="auto" w:fill="FFFFFF"/>
        </w:rPr>
      </w:pPr>
      <w:r>
        <w:rPr>
          <w:rFonts w:eastAsia="Segoe UI"/>
          <w:sz w:val="20"/>
          <w:szCs w:val="20"/>
          <w:shd w:val="clear" w:color="auto" w:fill="FFFFFF"/>
        </w:rPr>
        <w:t xml:space="preserve">Mail : </w:t>
      </w:r>
      <w:hyperlink r:id="rId9" w:history="1">
        <w:r>
          <w:rPr>
            <w:rStyle w:val="Lienhypertexte"/>
            <w:rFonts w:eastAsia="Segoe UI"/>
            <w:sz w:val="20"/>
            <w:szCs w:val="20"/>
            <w:shd w:val="clear" w:color="auto" w:fill="FFFFFF"/>
          </w:rPr>
          <w:t>rahanitranadia@gmail.com</w:t>
        </w:r>
      </w:hyperlink>
    </w:p>
    <w:p w:rsidR="00913197" w:rsidRDefault="00913197" w:rsidP="00D92D3F">
      <w:pPr>
        <w:spacing w:after="0" w:line="240" w:lineRule="auto"/>
        <w:ind w:left="100" w:hangingChars="50" w:hanging="100"/>
        <w:jc w:val="both"/>
        <w:rPr>
          <w:rFonts w:ascii="Times New Roman" w:hAnsi="Times New Roman" w:cs="Times New Roman"/>
          <w:b/>
          <w:bCs/>
          <w:color w:val="0000FF"/>
          <w:sz w:val="20"/>
          <w:szCs w:val="20"/>
          <w:vertAlign w:val="superscript"/>
        </w:rPr>
      </w:pPr>
    </w:p>
    <w:p w:rsidR="00913197" w:rsidRDefault="00E82150">
      <w:pPr>
        <w:spacing w:after="0" w:line="240" w:lineRule="auto"/>
        <w:jc w:val="both"/>
        <w:rPr>
          <w:rFonts w:ascii="Times New Roman" w:hAnsi="Times New Roman" w:cs="Times New Roman"/>
          <w:b/>
          <w:color w:val="0000FF"/>
          <w:sz w:val="20"/>
          <w:szCs w:val="20"/>
        </w:rPr>
      </w:pPr>
      <w:r>
        <w:rPr>
          <w:rFonts w:ascii="Times New Roman" w:hAnsi="Times New Roman" w:cs="Times New Roman"/>
          <w:b/>
          <w:color w:val="0000FF"/>
          <w:sz w:val="20"/>
          <w:szCs w:val="20"/>
          <w:lang w:val="en-US"/>
        </w:rPr>
        <w:pict>
          <v:shapetype id="_x0000_t32" coordsize="21600,21600" o:spt="32" o:oned="t" path="m,l21600,21600e" filled="f">
            <v:path arrowok="t" fillok="f" o:connecttype="none"/>
            <o:lock v:ext="edit" shapetype="t"/>
          </v:shapetype>
          <v:shape id="_x0000_s1027" type="#_x0000_t32" style="position:absolute;left:0;text-align:left;margin-left:69.55pt;margin-top:8.4pt;width:387pt;height:0;z-index:251665408" o:connectortype="straight" strokecolor="blue" strokeweight="1.5pt"/>
        </w:pict>
      </w:r>
      <w:r w:rsidR="000341BF">
        <w:rPr>
          <w:rFonts w:ascii="Times New Roman" w:hAnsi="Times New Roman" w:cs="Times New Roman"/>
          <w:b/>
          <w:color w:val="0000FF"/>
          <w:sz w:val="20"/>
          <w:szCs w:val="20"/>
        </w:rPr>
        <w:t>Résumé</w:t>
      </w:r>
    </w:p>
    <w:p w:rsidR="00913197" w:rsidRDefault="000341BF">
      <w:pPr>
        <w:pStyle w:val="NormalWeb"/>
        <w:shd w:val="clear" w:color="auto" w:fill="FFFFFF"/>
        <w:spacing w:before="160" w:after="160"/>
        <w:jc w:val="both"/>
        <w:rPr>
          <w:rFonts w:eastAsia="Segoe UI"/>
          <w:sz w:val="20"/>
          <w:szCs w:val="20"/>
        </w:rPr>
      </w:pPr>
      <w:r>
        <w:rPr>
          <w:rStyle w:val="lev"/>
          <w:rFonts w:eastAsia="Segoe UI"/>
          <w:sz w:val="20"/>
          <w:szCs w:val="20"/>
          <w:shd w:val="clear" w:color="auto" w:fill="FFFFFF"/>
        </w:rPr>
        <w:t>Introduction :</w:t>
      </w:r>
      <w:r>
        <w:rPr>
          <w:rFonts w:eastAsia="Segoe UI"/>
          <w:sz w:val="20"/>
          <w:szCs w:val="20"/>
          <w:shd w:val="clear" w:color="auto" w:fill="FFFFFF"/>
        </w:rPr>
        <w:t> Les dérivations ventriculaires externes (DVE) sont des dispositifs essentiels dans la prise en charge des hydrocéphalies aiguës et de l’hypertension intracrânienne. Cette étude vise à décrire le profil évolutif, les complications et les facteurs de mortalité des patients post-opérés de DVE dans un contexte de ressources limitées.</w:t>
      </w:r>
      <w:r>
        <w:rPr>
          <w:rStyle w:val="lev"/>
          <w:rFonts w:eastAsia="Segoe UI"/>
          <w:sz w:val="20"/>
          <w:szCs w:val="20"/>
          <w:shd w:val="clear" w:color="auto" w:fill="FFFFFF"/>
        </w:rPr>
        <w:t>Méthodes :</w:t>
      </w:r>
      <w:r>
        <w:rPr>
          <w:rFonts w:eastAsia="Segoe UI"/>
          <w:sz w:val="20"/>
          <w:szCs w:val="20"/>
          <w:shd w:val="clear" w:color="auto" w:fill="FFFFFF"/>
        </w:rPr>
        <w:t xml:space="preserve"> Une étude rétrospective et monocentrique est menée sur trois ans (janvier 2020 à décembre 2022) dans le service de réanimation chirurgicale du CHUJRA Madagascar. Tous les patients adultes et pédiatriques (≥1 an) ayant bénéficié d’une pose de DVE ont été inclus. Les données démographiques, cliniques, paracliniques et évolutives ont été analysées. Les données ont été analysées avec le logiciel R (version 4.3.2). Les facteurs de mortalité ont été identifiés par le test de Chi² ou exact de Fisher. </w:t>
      </w:r>
      <w:r>
        <w:rPr>
          <w:rStyle w:val="lev"/>
          <w:rFonts w:eastAsia="Segoe UI"/>
          <w:sz w:val="20"/>
          <w:szCs w:val="20"/>
          <w:shd w:val="clear" w:color="auto" w:fill="FFFFFF"/>
        </w:rPr>
        <w:t>Résultats :</w:t>
      </w:r>
      <w:r>
        <w:rPr>
          <w:rFonts w:eastAsia="Segoe UI"/>
          <w:sz w:val="20"/>
          <w:szCs w:val="20"/>
          <w:shd w:val="clear" w:color="auto" w:fill="FFFFFF"/>
        </w:rPr>
        <w:t xml:space="preserve"> Sur 509 patients cérébrolésés, 108 (21,2%) ont bénéficié d’une DVE. L’âge moyen était de 42,6±23,2 ans, avec une prédominance masculine (58,3%). Les indications principales étaient l’accident vasculaire cérébral hémorragique (73,5% chez l’adulte) et la méningo-encéphalite (44% chez l’enfant). Les complications infectieuses représentaient 30,5% des cas. La mortalité globale était de 53,7%. En analyse multivariée, les facteurs de mortalité  incluaient : un score à l’échelle de Glasgow préopératoire bas (&lt;8/15, p&lt;0,001), la présence d’anomalies pupillaires post-opératoires (p&lt;0,001 chez l’adulte, p=0,005 chez l’enfant), la nécessité d’une intubation orotrachéale (p&lt;0,001), une aggravation neurologique (p&lt;0,001) et la survenue d’un engagement cérébral (p&lt;0,001). </w:t>
      </w:r>
      <w:r>
        <w:rPr>
          <w:rStyle w:val="lev"/>
          <w:rFonts w:eastAsia="Segoe UI"/>
          <w:sz w:val="20"/>
          <w:szCs w:val="20"/>
          <w:shd w:val="clear" w:color="auto" w:fill="FFFFFF"/>
        </w:rPr>
        <w:t>Conclusion :</w:t>
      </w:r>
      <w:r>
        <w:rPr>
          <w:rFonts w:eastAsia="Segoe UI"/>
          <w:sz w:val="20"/>
          <w:szCs w:val="20"/>
          <w:shd w:val="clear" w:color="auto" w:fill="FFFFFF"/>
        </w:rPr>
        <w:t> La mortalité post-DVE reste élevée dans le contexte local. Les facteurs pronostiques péjoratifs identifiés sont principalement neurologiques et hémodynamiques. Ces résultats soulignent la nécessité d’une surveillance intensive postopératoire et d’une prise en charge optimisée des patients à haut risque, notamment en ce qui concerne la prévention des complications infectieuses et l’ajustement des stratégies thérapeutiques.</w:t>
      </w:r>
    </w:p>
    <w:p w:rsidR="00913197" w:rsidRDefault="000341BF">
      <w:pPr>
        <w:pStyle w:val="NormalWeb"/>
        <w:shd w:val="clear" w:color="auto" w:fill="FFFFFF"/>
        <w:spacing w:before="160" w:after="160"/>
        <w:jc w:val="both"/>
        <w:rPr>
          <w:rFonts w:eastAsia="Segoe UI"/>
          <w:sz w:val="20"/>
          <w:szCs w:val="20"/>
          <w:shd w:val="clear" w:color="auto" w:fill="FFFFFF"/>
        </w:rPr>
      </w:pPr>
      <w:r>
        <w:rPr>
          <w:rStyle w:val="lev"/>
          <w:rFonts w:eastAsia="Segoe UI"/>
          <w:sz w:val="20"/>
          <w:szCs w:val="20"/>
          <w:shd w:val="clear" w:color="auto" w:fill="FFFFFF"/>
        </w:rPr>
        <w:t>Mots-clés :</w:t>
      </w:r>
      <w:r>
        <w:rPr>
          <w:rFonts w:eastAsia="Segoe UI"/>
          <w:sz w:val="20"/>
          <w:szCs w:val="20"/>
          <w:shd w:val="clear" w:color="auto" w:fill="FFFFFF"/>
        </w:rPr>
        <w:t> Dérivation ventriculaire externe ; Facteurs pronostiques ; Hydrocéphalie ; Hypertension intracrânienne ; Mortalité ; Réanimation.</w:t>
      </w:r>
      <w:bookmarkStart w:id="0" w:name="_GoBack"/>
      <w:bookmarkEnd w:id="0"/>
    </w:p>
    <w:p w:rsidR="00913197" w:rsidRDefault="000341BF">
      <w:pPr>
        <w:pStyle w:val="NormalWeb"/>
        <w:shd w:val="clear" w:color="auto" w:fill="FFFFFF"/>
        <w:spacing w:before="160" w:after="160"/>
        <w:rPr>
          <w:rFonts w:eastAsia="Segoe UI"/>
          <w:b/>
          <w:bCs/>
          <w:sz w:val="20"/>
          <w:szCs w:val="20"/>
          <w:shd w:val="clear" w:color="auto" w:fill="FFFFFF"/>
        </w:rPr>
      </w:pPr>
      <w:r>
        <w:rPr>
          <w:rFonts w:eastAsia="Segoe UI"/>
          <w:b/>
          <w:bCs/>
          <w:sz w:val="20"/>
          <w:szCs w:val="20"/>
          <w:shd w:val="clear" w:color="auto" w:fill="FFFFFF"/>
        </w:rPr>
        <w:t xml:space="preserve">Abstract </w:t>
      </w:r>
    </w:p>
    <w:p w:rsidR="00913197" w:rsidRDefault="000341BF">
      <w:pPr>
        <w:spacing w:before="320" w:after="320" w:line="360" w:lineRule="auto"/>
        <w:jc w:val="both"/>
        <w:rPr>
          <w:rFonts w:ascii="Times New Roman" w:eastAsia="Segoe UI" w:hAnsi="Times New Roman" w:cs="Times New Roman"/>
          <w:sz w:val="20"/>
          <w:szCs w:val="20"/>
        </w:rPr>
      </w:pPr>
      <w:r>
        <w:rPr>
          <w:rFonts w:ascii="Times New Roman" w:eastAsia="Segoe UI" w:hAnsi="Times New Roman" w:cs="Times New Roman"/>
          <w:b/>
          <w:bCs/>
          <w:sz w:val="20"/>
          <w:szCs w:val="20"/>
        </w:rPr>
        <w:lastRenderedPageBreak/>
        <w:t>Introduction:</w:t>
      </w:r>
      <w:r>
        <w:rPr>
          <w:rFonts w:ascii="Times New Roman" w:eastAsia="Segoe UI" w:hAnsi="Times New Roman" w:cs="Times New Roman"/>
          <w:sz w:val="20"/>
          <w:szCs w:val="20"/>
        </w:rPr>
        <w:t xml:space="preserve"> External ventricular drains (EVD) are essential devices in the management of acute ydrocephalus and intracranial hypertension. This study aims to describe the clinical course, complications, and mortality factors of patients who have undergone EVD surgery in a resource-limited setting.</w:t>
      </w:r>
      <w:r>
        <w:rPr>
          <w:rFonts w:ascii="Times New Roman" w:eastAsia="Segoe UI" w:hAnsi="Times New Roman" w:cs="Times New Roman"/>
          <w:b/>
          <w:bCs/>
          <w:sz w:val="20"/>
          <w:szCs w:val="20"/>
        </w:rPr>
        <w:t>Methods:</w:t>
      </w:r>
      <w:r>
        <w:rPr>
          <w:rFonts w:ascii="Times New Roman" w:eastAsia="Segoe UI" w:hAnsi="Times New Roman" w:cs="Times New Roman"/>
          <w:sz w:val="20"/>
          <w:szCs w:val="20"/>
        </w:rPr>
        <w:t xml:space="preserve"> A retrospective, single-center study was conducted over three years (January 2020–December 2022) in the surgical intensive care unit at CHUJRA Madagascar. All adult and pediatric patients (≥1 year) who underwent EVD were included. Demographic, clinical, paraclinical, and evolutionary data were analyzed. </w:t>
      </w:r>
      <w:r>
        <w:rPr>
          <w:rFonts w:ascii="Times New Roman" w:eastAsia="Segoe UI" w:hAnsi="Times New Roman"/>
          <w:sz w:val="20"/>
          <w:szCs w:val="20"/>
        </w:rPr>
        <w:t>The data were analyzed using R software (version 4.3.2).</w:t>
      </w:r>
      <w:r>
        <w:rPr>
          <w:rFonts w:ascii="Times New Roman" w:eastAsia="Segoe UI" w:hAnsi="Times New Roman" w:cs="Times New Roman"/>
          <w:sz w:val="20"/>
          <w:szCs w:val="20"/>
        </w:rPr>
        <w:t>Mortality factors were identified using Chi² statistical tests.</w:t>
      </w:r>
      <w:r>
        <w:rPr>
          <w:rFonts w:ascii="Times New Roman" w:eastAsia="Segoe UI" w:hAnsi="Times New Roman" w:cs="Times New Roman"/>
          <w:b/>
          <w:bCs/>
          <w:sz w:val="20"/>
          <w:szCs w:val="20"/>
        </w:rPr>
        <w:t xml:space="preserve">Results: </w:t>
      </w:r>
      <w:r>
        <w:rPr>
          <w:rFonts w:ascii="Times New Roman" w:eastAsia="Segoe UI" w:hAnsi="Times New Roman" w:cs="Times New Roman"/>
          <w:sz w:val="20"/>
          <w:szCs w:val="20"/>
        </w:rPr>
        <w:t xml:space="preserve">Of 509 patients with brain injury, 108 (21.2%) underwent EVD. The mean age was 42.6±23.2 years, with a predominance of males (58.3%). The main indications were hemorrhagic stroke (73.5% in adults) and meningoencephalitis (44% in children). Infectious complications accounted for 30.5% of cases.Overall mortality was 53.7%. In multivariate analysis, significant mortality factors included: low preoperative Glasgow score (p&lt;0.001), presence of postoperative pupillary abnormalities (p&lt;0.001 in adults, p=0.005 in children), the need for orotracheal intubation (p&lt;0.001), neurological deterioration (p&lt;0.001), and the occurrence of brain herniation (p&lt;0.001). </w:t>
      </w:r>
      <w:r>
        <w:rPr>
          <w:rFonts w:ascii="Times New Roman" w:eastAsia="Segoe UI" w:hAnsi="Times New Roman" w:cs="Times New Roman"/>
          <w:b/>
          <w:bCs/>
          <w:sz w:val="20"/>
          <w:szCs w:val="20"/>
        </w:rPr>
        <w:t>Conclusion:</w:t>
      </w:r>
      <w:r>
        <w:rPr>
          <w:rFonts w:ascii="Times New Roman" w:eastAsia="Segoe UI" w:hAnsi="Times New Roman" w:cs="Times New Roman"/>
          <w:sz w:val="20"/>
          <w:szCs w:val="20"/>
        </w:rPr>
        <w:t xml:space="preserve"> mortality after EVD implantation remains high in our setting. The identified negative prognostic factors are mainly neurological and hemodynamic. These results highlight the need for intensive postoperative monitoring and optimized management of high-risk patients, particularly with regard to the prevention of infectious complications and the adjustment of therapeutic strategies.</w:t>
      </w:r>
    </w:p>
    <w:p w:rsidR="00913197" w:rsidRDefault="000341BF">
      <w:pPr>
        <w:spacing w:before="320" w:after="320" w:line="360" w:lineRule="auto"/>
        <w:jc w:val="both"/>
        <w:rPr>
          <w:rFonts w:ascii="Times New Roman" w:eastAsia="Segoe UI" w:hAnsi="Times New Roman" w:cs="Times New Roman"/>
          <w:sz w:val="20"/>
          <w:szCs w:val="20"/>
        </w:rPr>
      </w:pPr>
      <w:r>
        <w:rPr>
          <w:rFonts w:ascii="Times New Roman" w:eastAsia="Segoe UI" w:hAnsi="Times New Roman" w:cs="Times New Roman"/>
          <w:b/>
          <w:bCs/>
          <w:sz w:val="20"/>
          <w:szCs w:val="20"/>
        </w:rPr>
        <w:t>Keywords:</w:t>
      </w:r>
      <w:r>
        <w:rPr>
          <w:rFonts w:ascii="Times New Roman" w:eastAsia="Segoe UI" w:hAnsi="Times New Roman" w:cs="Times New Roman"/>
          <w:sz w:val="20"/>
          <w:szCs w:val="20"/>
        </w:rPr>
        <w:t xml:space="preserve"> External ventricular drainage;  Hydrocephalus; Intensive care ; Intracranial hypertension; Mortality; Prognostic factors.</w:t>
      </w:r>
    </w:p>
    <w:p w:rsidR="00913197" w:rsidRDefault="00E82150">
      <w:pPr>
        <w:spacing w:before="320" w:after="320" w:line="360" w:lineRule="auto"/>
        <w:rPr>
          <w:rFonts w:ascii="Times New Roman" w:hAnsi="Times New Roman" w:cs="Times New Roman"/>
          <w:b/>
          <w:color w:val="0000FF"/>
        </w:rPr>
      </w:pPr>
      <w:r>
        <w:rPr>
          <w:rFonts w:ascii="Times New Roman" w:hAnsi="Times New Roman" w:cs="Times New Roman"/>
          <w:b/>
          <w:color w:val="0000FF"/>
        </w:rPr>
        <w:pict>
          <v:shape id="_x0000_s1028" type="#_x0000_t32" style="position:absolute;margin-left:69.55pt;margin-top:8.4pt;width:387pt;height:0;z-index:251660288" o:connectortype="straight" strokecolor="blue" strokeweight="1.5pt"/>
        </w:pict>
      </w:r>
      <w:r w:rsidR="000341BF">
        <w:rPr>
          <w:rFonts w:ascii="Times New Roman" w:hAnsi="Times New Roman" w:cs="Times New Roman"/>
          <w:b/>
          <w:color w:val="0000FF"/>
        </w:rPr>
        <w:t xml:space="preserve">Introduction </w:t>
      </w:r>
    </w:p>
    <w:p w:rsidR="00913197" w:rsidRDefault="000341BF">
      <w:pPr>
        <w:pStyle w:val="NormalWeb"/>
        <w:shd w:val="clear" w:color="auto" w:fill="FFFFFF"/>
        <w:spacing w:before="0" w:beforeAutospacing="0" w:after="0" w:afterAutospacing="0"/>
        <w:jc w:val="both"/>
        <w:rPr>
          <w:rFonts w:eastAsia="Segoe UI"/>
          <w:sz w:val="22"/>
          <w:szCs w:val="22"/>
        </w:rPr>
      </w:pPr>
      <w:r>
        <w:rPr>
          <w:rFonts w:eastAsia="Segoe UI"/>
          <w:sz w:val="22"/>
          <w:szCs w:val="22"/>
          <w:shd w:val="clear" w:color="auto" w:fill="FFFFFF"/>
        </w:rPr>
        <w:t>Les dérivations ventriculaires externes (DVE) constituent une intervention neurochirurgicale urgente visant à drainer le liquide cérébrospinal (LCS) en excès dans le cadre de la prise en charge des hydrocéphalies aiguës ou de l’hypertension intracrânienne (HTIC) réfractaire. En permettant un contrôle rapide de la pression intracrânienne, elles représentent un outil thérapeutique salvateur (1, 2).</w:t>
      </w:r>
    </w:p>
    <w:p w:rsidR="00913197" w:rsidRDefault="000341BF">
      <w:pPr>
        <w:pStyle w:val="NormalWeb"/>
        <w:shd w:val="clear" w:color="auto" w:fill="FFFFFF"/>
        <w:spacing w:before="0" w:beforeAutospacing="0" w:after="0" w:afterAutospacing="0"/>
        <w:jc w:val="both"/>
        <w:rPr>
          <w:rFonts w:eastAsia="Segoe UI"/>
          <w:sz w:val="22"/>
          <w:szCs w:val="22"/>
        </w:rPr>
      </w:pPr>
      <w:r>
        <w:rPr>
          <w:rFonts w:eastAsia="Segoe UI"/>
          <w:sz w:val="22"/>
          <w:szCs w:val="22"/>
          <w:shd w:val="clear" w:color="auto" w:fill="FFFFFF"/>
        </w:rPr>
        <w:t>L’incidence de l’hydrocéphalie, et par conséquent le recours aux DVE, présente d’importantes variations géographiques. Aux États-Unis, elle est estimée entre 4 et 10 pour mille naissances vivantes en pédiatrie (1). En France, sa prévalence chez l’adulte se situe entre 1,3 et 2,2 par million d’habitants (2). E</w:t>
      </w:r>
      <w:r>
        <w:rPr>
          <w:rFonts w:eastAsia="Segoe UI"/>
          <w:color w:val="0F1115"/>
          <w:sz w:val="22"/>
          <w:szCs w:val="22"/>
          <w:shd w:val="clear" w:color="auto" w:fill="FFFFFF"/>
        </w:rPr>
        <w:t xml:space="preserve">n contexte africain, une étude menée au CHU Mohamed VI a rapporté que les hydrocéphalies représentaient 2,35% des hospitalisations dans le service de neurochirurgie (3). À Madagascar, les données locales confirment cette charge pathologique. </w:t>
      </w:r>
      <w:r>
        <w:rPr>
          <w:rFonts w:eastAsia="Segoe UI"/>
          <w:sz w:val="22"/>
          <w:szCs w:val="22"/>
          <w:shd w:val="clear" w:color="auto" w:fill="FFFFFF"/>
        </w:rPr>
        <w:t xml:space="preserve">Une étude de Samidine SN (4) en 2011 a révélé une prévalence de l’hydrocéphalie de 2% chez les patients de plus de 15 ans hospitalisés au service de Neurochirurgie du CENHOSOA. Une enquête complémentaire de Rahendrimanana DDJ (5) en 2015, focalisée sur la population pédiatrique au sein du même service, a retrouvé une prévalence similaire de 2%, avec 18,1% de ces enfants ayant nécessité la pose d’une DVE. Ces données soulignent l’importance de ce dispositif dans la pratique neurochirurgicale locale et la nécessité d’en optimiser la prise en charge périopératoire. Bien que la procédure soit courante, elle n’est pas dénuée de risques. Les complications, notamment infectieuses, hémorragiques ou mécaniques, sont fréquentes et grevées d’une morbi-mortalité significative, pouvant atteindre 20 à 40% selon les séries (6,7). La période postopératoire immédiate en réanimation est donc cruciale pour la surveillance et la prévention de ces complications.Peu d’études ont spécifiquement évalué le devenir des patients porteurs de DVE dans les services de réanimation des pays à faible revenu, où les profils épidémiologiques et les contraintes de prise en charge diffèrent notablement des contextes occidentaux. Cette étude rétrospective, menée au Centre Hospitalier Universitaire Joseph Ravoahangy Andrianavalona (CHU-JRA) d’Antananarivo, avait pour objectif principal d’identifier les facteurs prédictifs de mortalité dans ce contexte </w:t>
      </w:r>
      <w:r>
        <w:rPr>
          <w:rFonts w:eastAsia="Segoe UI"/>
          <w:sz w:val="22"/>
          <w:szCs w:val="22"/>
          <w:shd w:val="clear" w:color="auto" w:fill="FFFFFF"/>
        </w:rPr>
        <w:lastRenderedPageBreak/>
        <w:t>spécifique.Les objectifs spécifiques étaient de décrire les caractéristiques clinico-épidémiologiques des patients ayant bénéficié d’une DVE, et d’évaluer leur devenir et les complications en réanimation chirurgicale.</w:t>
      </w:r>
    </w:p>
    <w:p w:rsidR="00913197" w:rsidRDefault="00E82150" w:rsidP="00D92D3F">
      <w:pPr>
        <w:spacing w:after="0" w:line="240" w:lineRule="auto"/>
        <w:rPr>
          <w:rFonts w:ascii="Times New Roman" w:hAnsi="Times New Roman" w:cs="Times New Roman"/>
          <w:b/>
        </w:rPr>
        <w:sectPr w:rsidR="00913197">
          <w:headerReference w:type="default" r:id="rId10"/>
          <w:footerReference w:type="default" r:id="rId11"/>
          <w:pgSz w:w="11906" w:h="16838"/>
          <w:pgMar w:top="1417" w:right="1417" w:bottom="1417" w:left="1417" w:header="708" w:footer="708" w:gutter="0"/>
          <w:pgNumType w:start="450"/>
          <w:cols w:space="708"/>
          <w:docGrid w:linePitch="360"/>
        </w:sectPr>
      </w:pPr>
      <w:r>
        <w:rPr>
          <w:rFonts w:ascii="Times New Roman" w:hAnsi="Times New Roman" w:cs="Times New Roman"/>
          <w:b/>
          <w:color w:val="0000FF"/>
        </w:rPr>
        <w:pict>
          <v:shape id="_x0000_s1029" type="#_x0000_t32" style="position:absolute;margin-left:121pt;margin-top:8.8pt;width:330.15pt;height:.6pt;z-index:251661312" strokecolor="blue" strokeweight="1.5pt"/>
        </w:pict>
      </w:r>
      <w:r w:rsidR="000341BF">
        <w:rPr>
          <w:rFonts w:ascii="Times New Roman" w:hAnsi="Times New Roman" w:cs="Times New Roman"/>
          <w:b/>
          <w:color w:val="0000FF"/>
        </w:rPr>
        <w:t>Matériels et méthode</w:t>
      </w:r>
    </w:p>
    <w:p w:rsidR="00913197" w:rsidRDefault="000341BF">
      <w:pPr>
        <w:spacing w:after="0" w:line="240" w:lineRule="auto"/>
        <w:jc w:val="both"/>
        <w:rPr>
          <w:rFonts w:ascii="Times New Roman" w:eastAsia="Segoe UI" w:hAnsi="Times New Roman" w:cs="Times New Roman"/>
          <w:shd w:val="clear" w:color="auto" w:fill="FFFFFF"/>
        </w:rPr>
      </w:pPr>
      <w:r>
        <w:rPr>
          <w:rFonts w:ascii="Times New Roman" w:eastAsia="Segoe UI" w:hAnsi="Times New Roman" w:cs="Times New Roman"/>
          <w:shd w:val="clear" w:color="auto" w:fill="FFFFFF"/>
        </w:rPr>
        <w:lastRenderedPageBreak/>
        <w:t>Il s’agit d’une étude rétrospective, descriptive et analytique, menée dans le service de Réanimation Chirurgicale du CHU-JRA, Antananarivo, Madagascar, sur une période de trois ans (du 1</w:t>
      </w:r>
      <w:r>
        <w:rPr>
          <w:rFonts w:ascii="Times New Roman" w:eastAsia="Segoe UI" w:hAnsi="Times New Roman" w:cs="Times New Roman"/>
          <w:shd w:val="clear" w:color="auto" w:fill="FFFFFF"/>
          <w:vertAlign w:val="superscript"/>
        </w:rPr>
        <w:t>er</w:t>
      </w:r>
      <w:r>
        <w:rPr>
          <w:rFonts w:ascii="Times New Roman" w:eastAsia="Segoe UI" w:hAnsi="Times New Roman" w:cs="Times New Roman"/>
          <w:shd w:val="clear" w:color="auto" w:fill="FFFFFF"/>
        </w:rPr>
        <w:t xml:space="preserve"> janvier 2020 au 31 décembre 2022). Tous les patients admis en réanimation durant la période d’étude, ayant bénéficié d’une pose de DVE à l’admission ou pendant l’hospitalisation, ont été inclus. Les critères d’exclusion étaient : les dossiers médicaux incomplets, les enfants de moins d’un an, et les poses de DVE post-traumatiques (pour homogénéiser les étiologies). </w:t>
      </w:r>
    </w:p>
    <w:p w:rsidR="00913197" w:rsidRDefault="000341BF">
      <w:pPr>
        <w:pStyle w:val="NormalWeb"/>
        <w:shd w:val="clear" w:color="auto" w:fill="FFFFFF"/>
        <w:spacing w:before="0" w:beforeAutospacing="0" w:after="0" w:afterAutospacing="0"/>
        <w:jc w:val="both"/>
        <w:rPr>
          <w:sz w:val="22"/>
          <w:szCs w:val="22"/>
        </w:rPr>
      </w:pPr>
      <w:r>
        <w:rPr>
          <w:rFonts w:eastAsia="Segoe UI"/>
          <w:sz w:val="22"/>
          <w:szCs w:val="22"/>
          <w:shd w:val="clear" w:color="auto" w:fill="FFFFFF"/>
        </w:rPr>
        <w:t>Les données ont été collectées à l’aide des dossiers médicaux selon une fiche de collecte standardisée. Les variables étudiées comprenaient :</w:t>
      </w:r>
    </w:p>
    <w:p w:rsidR="00913197" w:rsidRDefault="000341BF">
      <w:pPr>
        <w:pStyle w:val="NormalWeb"/>
        <w:spacing w:before="0" w:beforeAutospacing="0" w:after="0" w:afterAutospacing="0"/>
        <w:jc w:val="both"/>
        <w:rPr>
          <w:sz w:val="22"/>
          <w:szCs w:val="22"/>
        </w:rPr>
      </w:pPr>
      <w:r>
        <w:rPr>
          <w:rStyle w:val="lev"/>
          <w:rFonts w:eastAsia="Segoe UI"/>
          <w:b w:val="0"/>
          <w:bCs w:val="0"/>
          <w:sz w:val="22"/>
          <w:szCs w:val="22"/>
          <w:shd w:val="clear" w:color="auto" w:fill="FFFFFF"/>
        </w:rPr>
        <w:t>- les paramètres démographiques et anamnestiques</w:t>
      </w:r>
      <w:r>
        <w:rPr>
          <w:rFonts w:eastAsia="Segoe UI"/>
          <w:sz w:val="22"/>
          <w:szCs w:val="22"/>
          <w:shd w:val="clear" w:color="auto" w:fill="FFFFFF"/>
        </w:rPr>
        <w:t> (âge, genre, antécédents).</w:t>
      </w:r>
    </w:p>
    <w:p w:rsidR="00913197" w:rsidRDefault="000341BF">
      <w:pPr>
        <w:pStyle w:val="NormalWeb"/>
        <w:spacing w:before="0" w:beforeAutospacing="0" w:after="0" w:afterAutospacing="0"/>
        <w:jc w:val="both"/>
        <w:rPr>
          <w:rFonts w:eastAsia="Segoe UI"/>
          <w:sz w:val="22"/>
          <w:szCs w:val="22"/>
          <w:shd w:val="clear" w:color="auto" w:fill="FFFFFF"/>
        </w:rPr>
      </w:pPr>
      <w:r>
        <w:rPr>
          <w:rStyle w:val="lev"/>
          <w:rFonts w:eastAsia="Segoe UI"/>
          <w:b w:val="0"/>
          <w:bCs w:val="0"/>
          <w:sz w:val="22"/>
          <w:szCs w:val="22"/>
          <w:shd w:val="clear" w:color="auto" w:fill="FFFFFF"/>
        </w:rPr>
        <w:t>- les données cliniques</w:t>
      </w:r>
      <w:r>
        <w:rPr>
          <w:rFonts w:eastAsia="Segoe UI"/>
          <w:sz w:val="22"/>
          <w:szCs w:val="22"/>
          <w:shd w:val="clear" w:color="auto" w:fill="FFFFFF"/>
        </w:rPr>
        <w:t> : motif d’admission, indication de la DVE, paramètres vitaux et neurologiques (score à l’échelle de Glasgow, état pupillaire) avant et après l’intervention.</w:t>
      </w:r>
    </w:p>
    <w:p w:rsidR="00913197" w:rsidRDefault="000341BF">
      <w:pPr>
        <w:pStyle w:val="NormalWeb"/>
        <w:spacing w:before="0" w:beforeAutospacing="0" w:after="0" w:afterAutospacing="0"/>
        <w:jc w:val="both"/>
        <w:rPr>
          <w:sz w:val="22"/>
          <w:szCs w:val="22"/>
        </w:rPr>
      </w:pPr>
      <w:r>
        <w:rPr>
          <w:rStyle w:val="lev"/>
          <w:rFonts w:eastAsia="Segoe UI"/>
          <w:b w:val="0"/>
          <w:bCs w:val="0"/>
          <w:sz w:val="22"/>
          <w:szCs w:val="22"/>
          <w:shd w:val="clear" w:color="auto" w:fill="FFFFFF"/>
        </w:rPr>
        <w:t>- les examens paracliniques</w:t>
      </w:r>
      <w:r>
        <w:rPr>
          <w:rFonts w:eastAsia="Segoe UI"/>
          <w:sz w:val="22"/>
          <w:szCs w:val="22"/>
          <w:shd w:val="clear" w:color="auto" w:fill="FFFFFF"/>
        </w:rPr>
        <w:t> : résultats du scanner cérébral et de l’examen cytobactériologique du LCS (ECB LCS).</w:t>
      </w:r>
    </w:p>
    <w:p w:rsidR="00913197" w:rsidRDefault="000341BF">
      <w:pPr>
        <w:pStyle w:val="NormalWeb"/>
        <w:spacing w:before="0" w:beforeAutospacing="0" w:after="0" w:afterAutospacing="0"/>
        <w:jc w:val="both"/>
        <w:rPr>
          <w:rFonts w:eastAsia="Segoe UI"/>
          <w:sz w:val="22"/>
          <w:szCs w:val="22"/>
          <w:shd w:val="clear" w:color="auto" w:fill="FFFFFF"/>
        </w:rPr>
      </w:pPr>
      <w:r>
        <w:rPr>
          <w:rStyle w:val="lev"/>
          <w:rFonts w:eastAsia="Segoe UI"/>
          <w:b w:val="0"/>
          <w:bCs w:val="0"/>
          <w:sz w:val="22"/>
          <w:szCs w:val="22"/>
          <w:shd w:val="clear" w:color="auto" w:fill="FFFFFF"/>
        </w:rPr>
        <w:t>- les traitements</w:t>
      </w:r>
      <w:r>
        <w:rPr>
          <w:rFonts w:eastAsia="Segoe UI"/>
          <w:sz w:val="22"/>
          <w:szCs w:val="22"/>
          <w:shd w:val="clear" w:color="auto" w:fill="FFFFFF"/>
        </w:rPr>
        <w:t> en réanimation : ventilation, antibiotiques, osmothérapie</w:t>
      </w:r>
    </w:p>
    <w:p w:rsidR="00913197" w:rsidRDefault="000341BF">
      <w:pPr>
        <w:pStyle w:val="NormalWeb"/>
        <w:spacing w:before="0" w:beforeAutospacing="0" w:after="0" w:afterAutospacing="0"/>
        <w:jc w:val="both"/>
        <w:rPr>
          <w:rFonts w:eastAsia="Segoe UI"/>
          <w:sz w:val="22"/>
          <w:szCs w:val="22"/>
        </w:rPr>
      </w:pPr>
      <w:r>
        <w:rPr>
          <w:rStyle w:val="lev"/>
          <w:rFonts w:eastAsia="Segoe UI"/>
          <w:b w:val="0"/>
          <w:bCs w:val="0"/>
          <w:sz w:val="22"/>
          <w:szCs w:val="22"/>
          <w:shd w:val="clear" w:color="auto" w:fill="FFFFFF"/>
        </w:rPr>
        <w:t>- les paramètres évolutifs et devenir</w:t>
      </w:r>
      <w:r>
        <w:rPr>
          <w:rFonts w:eastAsia="Segoe UI"/>
          <w:sz w:val="22"/>
          <w:szCs w:val="22"/>
          <w:shd w:val="clear" w:color="auto" w:fill="FFFFFF"/>
        </w:rPr>
        <w:t> des patients : complications, durée de séjour, issue (décès, transfert, sortie).</w:t>
      </w:r>
      <w:r>
        <w:rPr>
          <w:rFonts w:eastAsia="Segoe UI"/>
          <w:sz w:val="22"/>
          <w:szCs w:val="22"/>
          <w:shd w:val="clear" w:color="auto" w:fill="FFFFFF"/>
        </w:rPr>
        <w:br/>
        <w:t>Les données ont été analysées avec le logiciel R (version 4.x). Les variables quantitatives ont été décrites par leur moyenne (± écart-type) ou médiane [intervalle interquartile] selon la distribution, et les variables qualitatives par leurs effectifs et pourcentages. Les comparaisons ont été faites par le test du Chi² (ou test exact de Fisher) pour les variables qualitatives, et par le test de Student ou de Mann-Whitney pour les variables quantitatives. Les analyses ont été stratifiées par classe d’âge (enfants vs adultes) pour l’identification des facteurs de mortalité. Une valeur de p &lt; 0,05 a été considérée comme statistiquement significative.</w:t>
      </w:r>
      <w:r>
        <w:rPr>
          <w:rFonts w:eastAsia="Segoe UI"/>
          <w:sz w:val="22"/>
          <w:szCs w:val="22"/>
          <w:shd w:val="clear" w:color="auto" w:fill="FFFFFF"/>
        </w:rPr>
        <w:br/>
        <w:t xml:space="preserve">Cette étude a été conduite avec l’accord favorable de la hiérarchie médicale et administrative du service, dans le cadre d’un travail de recherche universitaire. La </w:t>
      </w:r>
      <w:r>
        <w:rPr>
          <w:rFonts w:eastAsia="Segoe UI"/>
          <w:sz w:val="22"/>
          <w:szCs w:val="22"/>
          <w:shd w:val="clear" w:color="auto" w:fill="FFFFFF"/>
        </w:rPr>
        <w:lastRenderedPageBreak/>
        <w:t>confidentialité des données a été strictement respectée.</w:t>
      </w:r>
    </w:p>
    <w:p w:rsidR="00913197" w:rsidRDefault="000341BF">
      <w:pPr>
        <w:pStyle w:val="NormalWeb"/>
        <w:spacing w:before="0" w:beforeAutospacing="0" w:after="0" w:afterAutospacing="0"/>
        <w:jc w:val="both"/>
        <w:rPr>
          <w:rFonts w:eastAsia="Segoe UI"/>
          <w:b/>
          <w:bCs/>
          <w:color w:val="0000FF"/>
          <w:sz w:val="22"/>
          <w:szCs w:val="22"/>
          <w:shd w:val="clear" w:color="auto" w:fill="FFFFFF"/>
        </w:rPr>
      </w:pPr>
      <w:r>
        <w:rPr>
          <w:rFonts w:eastAsia="Segoe UI"/>
          <w:b/>
          <w:bCs/>
          <w:color w:val="0000FF"/>
          <w:sz w:val="22"/>
          <w:szCs w:val="22"/>
          <w:shd w:val="clear" w:color="auto" w:fill="FFFFFF"/>
        </w:rPr>
        <w:t xml:space="preserve">Résultats </w:t>
      </w:r>
    </w:p>
    <w:p w:rsidR="00913197" w:rsidRDefault="000341BF">
      <w:pPr>
        <w:pStyle w:val="NormalWeb"/>
        <w:numPr>
          <w:ilvl w:val="0"/>
          <w:numId w:val="3"/>
        </w:numPr>
        <w:shd w:val="clear" w:color="auto" w:fill="FFFFFF"/>
        <w:spacing w:before="0" w:beforeAutospacing="0" w:after="0" w:afterAutospacing="0"/>
        <w:jc w:val="both"/>
        <w:rPr>
          <w:rFonts w:eastAsia="Segoe UI"/>
          <w:sz w:val="22"/>
          <w:szCs w:val="22"/>
          <w:shd w:val="clear" w:color="auto" w:fill="FFFFFF"/>
        </w:rPr>
      </w:pPr>
      <w:r>
        <w:rPr>
          <w:rStyle w:val="lev"/>
          <w:rFonts w:eastAsia="Segoe UI"/>
          <w:sz w:val="22"/>
          <w:szCs w:val="22"/>
          <w:shd w:val="clear" w:color="auto" w:fill="FFFFFF"/>
        </w:rPr>
        <w:t>Caractéristiques générales de la population</w:t>
      </w:r>
      <w:r>
        <w:rPr>
          <w:rFonts w:eastAsia="Segoe UI"/>
          <w:sz w:val="22"/>
          <w:szCs w:val="22"/>
          <w:shd w:val="clear" w:color="auto" w:fill="FFFFFF"/>
        </w:rPr>
        <w:br/>
        <w:t xml:space="preserve">Parmi 509 patients hospitalisés pour lésion cérébrale, 143 (28,1%) ont bénéficié d’une pose de DVE. Après application des critères d’exclusion, 108 patients ont été retenus dans l’analyse finale (prévalence de 21,2% parmi les cérébrolésés). </w:t>
      </w:r>
      <w:r>
        <w:rPr>
          <w:rFonts w:eastAsia="Segoe UI"/>
          <w:sz w:val="22"/>
          <w:szCs w:val="22"/>
          <w:shd w:val="clear" w:color="auto" w:fill="FFFFFF"/>
        </w:rPr>
        <w:br/>
        <w:t xml:space="preserve">L’âge moyen était de 42,6 ± 23,2 ans, avec un pic de fréquence entre 60 et 70 ans (25%) (figure 1). Une prédominance masculine (58,3%, </w:t>
      </w:r>
      <w:r>
        <w:rPr>
          <w:rFonts w:eastAsia="Segoe UI"/>
          <w:i/>
          <w:iCs/>
          <w:sz w:val="22"/>
          <w:szCs w:val="22"/>
          <w:shd w:val="clear" w:color="auto" w:fill="FFFFFF"/>
        </w:rPr>
        <w:t>sex-ratio</w:t>
      </w:r>
      <w:r>
        <w:rPr>
          <w:rFonts w:eastAsia="Segoe UI"/>
          <w:sz w:val="22"/>
          <w:szCs w:val="22"/>
          <w:shd w:val="clear" w:color="auto" w:fill="FFFFFF"/>
        </w:rPr>
        <w:t xml:space="preserve"> = 1,4) a été objectivée. La majorité des patients (77,8%) étaient admis directement en postopératoire de la DVE.</w:t>
      </w:r>
    </w:p>
    <w:p w:rsidR="00913197" w:rsidRDefault="00913197">
      <w:pPr>
        <w:pStyle w:val="NormalWeb"/>
        <w:spacing w:before="0" w:beforeAutospacing="0" w:after="0" w:afterAutospacing="0"/>
        <w:jc w:val="both"/>
        <w:rPr>
          <w:rFonts w:eastAsia="Segoe UI"/>
          <w:sz w:val="22"/>
          <w:szCs w:val="22"/>
          <w:shd w:val="clear" w:color="auto" w:fill="FFFFFF"/>
        </w:rPr>
      </w:pPr>
    </w:p>
    <w:p w:rsidR="00913197" w:rsidRDefault="000341BF">
      <w:pPr>
        <w:spacing w:after="0" w:line="240" w:lineRule="auto"/>
        <w:jc w:val="both"/>
        <w:rPr>
          <w:rFonts w:ascii="Times New Roman" w:eastAsia="Segoe UI" w:hAnsi="Times New Roman" w:cs="Times New Roman"/>
          <w:shd w:val="clear" w:color="auto" w:fill="FFFFFF"/>
        </w:rPr>
      </w:pPr>
      <w:r>
        <w:rPr>
          <w:noProof/>
          <w:lang w:eastAsia="fr-FR"/>
        </w:rPr>
        <w:drawing>
          <wp:inline distT="0" distB="0" distL="0" distR="0">
            <wp:extent cx="3362960" cy="2104390"/>
            <wp:effectExtent l="0" t="0" r="2540" b="381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3197" w:rsidRDefault="000341BF">
      <w:pPr>
        <w:pStyle w:val="NormalWeb"/>
        <w:shd w:val="clear" w:color="auto" w:fill="FFFFFF"/>
        <w:spacing w:before="0" w:beforeAutospacing="0" w:after="0" w:afterAutospacing="0"/>
        <w:jc w:val="both"/>
        <w:rPr>
          <w:b/>
          <w:bCs/>
          <w:sz w:val="22"/>
          <w:szCs w:val="22"/>
          <w:lang w:eastAsia="fr-FR"/>
        </w:rPr>
      </w:pPr>
      <w:r>
        <w:rPr>
          <w:b/>
          <w:bCs/>
          <w:sz w:val="22"/>
          <w:szCs w:val="22"/>
          <w:lang w:eastAsia="fr-FR"/>
        </w:rPr>
        <w:t>Figure 1 : Âge des patients</w:t>
      </w:r>
    </w:p>
    <w:p w:rsidR="00913197" w:rsidRDefault="000341BF">
      <w:pPr>
        <w:pStyle w:val="NormalWeb"/>
        <w:numPr>
          <w:ilvl w:val="0"/>
          <w:numId w:val="3"/>
        </w:numPr>
        <w:shd w:val="clear" w:color="auto" w:fill="FFFFFF"/>
        <w:spacing w:before="0" w:beforeAutospacing="0" w:after="0" w:afterAutospacing="0"/>
        <w:jc w:val="both"/>
        <w:rPr>
          <w:rFonts w:eastAsia="Segoe UI"/>
          <w:sz w:val="22"/>
          <w:szCs w:val="22"/>
          <w:shd w:val="clear" w:color="auto" w:fill="FFFFFF"/>
        </w:rPr>
      </w:pPr>
      <w:r>
        <w:rPr>
          <w:rStyle w:val="lev"/>
          <w:rFonts w:eastAsia="Segoe UI"/>
          <w:sz w:val="22"/>
          <w:szCs w:val="22"/>
          <w:shd w:val="clear" w:color="auto" w:fill="FFFFFF"/>
        </w:rPr>
        <w:t>Étiologies et présentations initiales</w:t>
      </w:r>
      <w:r>
        <w:rPr>
          <w:rFonts w:eastAsia="Segoe UI"/>
          <w:sz w:val="22"/>
          <w:szCs w:val="22"/>
          <w:shd w:val="clear" w:color="auto" w:fill="FFFFFF"/>
        </w:rPr>
        <w:br/>
        <w:t>Chez les adultes (n=83), l’indication principale de la DVE était l’accident vasculaire cérébral (AVC) hémorragique (73,5%), et l’hémorragie sous-arachnoïdienne (HSA, 13,3%). Chez les enfants (n=25), la méningo-encéphalite était l’étiologie prédominante (44%) (Tableau I).</w:t>
      </w:r>
    </w:p>
    <w:p w:rsidR="00913197" w:rsidRDefault="000341BF">
      <w:pPr>
        <w:pStyle w:val="NormalWeb"/>
        <w:shd w:val="clear" w:color="auto" w:fill="FFFFFF"/>
        <w:spacing w:before="0" w:beforeAutospacing="0" w:after="0" w:afterAutospacing="0"/>
        <w:jc w:val="both"/>
        <w:rPr>
          <w:rFonts w:eastAsia="Segoe UI"/>
          <w:b/>
          <w:bCs/>
          <w:sz w:val="22"/>
          <w:szCs w:val="22"/>
          <w:shd w:val="clear" w:color="auto" w:fill="FFFFFF"/>
        </w:rPr>
      </w:pPr>
      <w:r>
        <w:rPr>
          <w:rFonts w:eastAsia="Segoe UI"/>
          <w:b/>
          <w:bCs/>
          <w:sz w:val="22"/>
          <w:szCs w:val="22"/>
          <w:shd w:val="clear" w:color="auto" w:fill="FFFFFF"/>
        </w:rPr>
        <w:t>Tableau I : Indications de la pose de DVE</w:t>
      </w:r>
    </w:p>
    <w:tbl>
      <w:tblPr>
        <w:tblStyle w:val="Grilledutableau"/>
        <w:tblpPr w:leftFromText="180" w:rightFromText="180" w:vertAnchor="text" w:horzAnchor="page" w:tblpX="1793" w:tblpY="613"/>
        <w:tblOverlap w:val="never"/>
        <w:tblW w:w="52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6"/>
        <w:gridCol w:w="856"/>
        <w:gridCol w:w="1277"/>
      </w:tblGrid>
      <w:tr w:rsidR="00913197">
        <w:trPr>
          <w:trHeight w:val="567"/>
        </w:trPr>
        <w:tc>
          <w:tcPr>
            <w:tcW w:w="2691" w:type="pct"/>
            <w:tcBorders>
              <w:top w:val="single" w:sz="4" w:space="0" w:color="auto"/>
              <w:bottom w:val="single" w:sz="4" w:space="0" w:color="auto"/>
            </w:tcBorders>
            <w:vAlign w:val="center"/>
          </w:tcPr>
          <w:p w:rsidR="00913197" w:rsidRDefault="000341BF">
            <w:pPr>
              <w:spacing w:after="0" w:line="240" w:lineRule="auto"/>
              <w:rPr>
                <w:rFonts w:ascii="Times New Roman" w:hAnsi="Times New Roman" w:cs="Times New Roman"/>
                <w:b/>
              </w:rPr>
            </w:pPr>
            <w:r>
              <w:rPr>
                <w:rFonts w:ascii="Times New Roman" w:hAnsi="Times New Roman" w:cs="Times New Roman"/>
                <w:b/>
              </w:rPr>
              <w:lastRenderedPageBreak/>
              <w:t>Indications</w:t>
            </w:r>
          </w:p>
        </w:tc>
        <w:tc>
          <w:tcPr>
            <w:tcW w:w="927" w:type="pct"/>
            <w:tcBorders>
              <w:top w:val="single" w:sz="4" w:space="0" w:color="auto"/>
              <w:bottom w:val="single" w:sz="4" w:space="0" w:color="auto"/>
            </w:tcBorders>
            <w:vAlign w:val="center"/>
          </w:tcPr>
          <w:p w:rsidR="00913197" w:rsidRDefault="000341BF">
            <w:pPr>
              <w:spacing w:after="0" w:line="240" w:lineRule="auto"/>
              <w:rPr>
                <w:rFonts w:ascii="Times New Roman" w:hAnsi="Times New Roman" w:cs="Times New Roman"/>
                <w:b/>
              </w:rPr>
            </w:pPr>
            <w:r>
              <w:rPr>
                <w:rFonts w:ascii="Times New Roman" w:hAnsi="Times New Roman" w:cs="Times New Roman"/>
                <w:b/>
              </w:rPr>
              <w:t>Effectifs (n)</w:t>
            </w:r>
          </w:p>
        </w:tc>
        <w:tc>
          <w:tcPr>
            <w:tcW w:w="1381" w:type="pct"/>
            <w:tcBorders>
              <w:top w:val="single" w:sz="4" w:space="0" w:color="auto"/>
              <w:bottom w:val="single" w:sz="4" w:space="0" w:color="auto"/>
            </w:tcBorders>
            <w:vAlign w:val="center"/>
          </w:tcPr>
          <w:p w:rsidR="00913197" w:rsidRDefault="000341BF">
            <w:pPr>
              <w:spacing w:after="0" w:line="240" w:lineRule="auto"/>
              <w:rPr>
                <w:rFonts w:ascii="Times New Roman" w:hAnsi="Times New Roman" w:cs="Times New Roman"/>
                <w:b/>
              </w:rPr>
            </w:pPr>
            <w:r>
              <w:rPr>
                <w:rFonts w:ascii="Times New Roman" w:hAnsi="Times New Roman" w:cs="Times New Roman"/>
                <w:b/>
              </w:rPr>
              <w:t>Pourcentage (%)</w:t>
            </w:r>
          </w:p>
        </w:tc>
      </w:tr>
      <w:tr w:rsidR="00913197">
        <w:trPr>
          <w:trHeight w:val="567"/>
        </w:trPr>
        <w:tc>
          <w:tcPr>
            <w:tcW w:w="5000" w:type="pct"/>
            <w:gridSpan w:val="3"/>
            <w:tcBorders>
              <w:top w:val="single" w:sz="4" w:space="0" w:color="auto"/>
            </w:tcBorders>
            <w:noWrap/>
            <w:vAlign w:val="center"/>
          </w:tcPr>
          <w:p w:rsidR="00913197" w:rsidRDefault="000341BF">
            <w:pPr>
              <w:spacing w:after="0" w:line="240" w:lineRule="auto"/>
              <w:rPr>
                <w:rFonts w:ascii="Times New Roman" w:hAnsi="Times New Roman" w:cs="Times New Roman"/>
                <w:b/>
              </w:rPr>
            </w:pPr>
            <w:r>
              <w:rPr>
                <w:rFonts w:ascii="Times New Roman" w:hAnsi="Times New Roman" w:cs="Times New Roman"/>
                <w:b/>
              </w:rPr>
              <w:t>Indication de la DVE chez les enfants</w:t>
            </w:r>
          </w:p>
        </w:tc>
      </w:tr>
      <w:tr w:rsidR="00913197">
        <w:trPr>
          <w:trHeight w:val="449"/>
        </w:trPr>
        <w:tc>
          <w:tcPr>
            <w:tcW w:w="269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Méningite</w:t>
            </w:r>
          </w:p>
        </w:tc>
        <w:tc>
          <w:tcPr>
            <w:tcW w:w="927"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9</w:t>
            </w:r>
          </w:p>
        </w:tc>
        <w:tc>
          <w:tcPr>
            <w:tcW w:w="138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36,0%</w:t>
            </w:r>
          </w:p>
        </w:tc>
      </w:tr>
      <w:tr w:rsidR="00913197">
        <w:trPr>
          <w:trHeight w:val="413"/>
        </w:trPr>
        <w:tc>
          <w:tcPr>
            <w:tcW w:w="269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Méningo-encéphalite</w:t>
            </w:r>
          </w:p>
        </w:tc>
        <w:tc>
          <w:tcPr>
            <w:tcW w:w="927"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11</w:t>
            </w:r>
          </w:p>
        </w:tc>
        <w:tc>
          <w:tcPr>
            <w:tcW w:w="138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44,0%</w:t>
            </w:r>
          </w:p>
        </w:tc>
      </w:tr>
      <w:tr w:rsidR="00913197">
        <w:trPr>
          <w:trHeight w:val="434"/>
        </w:trPr>
        <w:tc>
          <w:tcPr>
            <w:tcW w:w="269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Dysfonctionnement DVP*</w:t>
            </w:r>
          </w:p>
        </w:tc>
        <w:tc>
          <w:tcPr>
            <w:tcW w:w="927"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2</w:t>
            </w:r>
          </w:p>
        </w:tc>
        <w:tc>
          <w:tcPr>
            <w:tcW w:w="138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8,0%</w:t>
            </w:r>
          </w:p>
        </w:tc>
      </w:tr>
      <w:tr w:rsidR="00913197">
        <w:trPr>
          <w:trHeight w:val="283"/>
        </w:trPr>
        <w:tc>
          <w:tcPr>
            <w:tcW w:w="269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Tumorales</w:t>
            </w:r>
          </w:p>
        </w:tc>
        <w:tc>
          <w:tcPr>
            <w:tcW w:w="927"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2</w:t>
            </w:r>
          </w:p>
        </w:tc>
        <w:tc>
          <w:tcPr>
            <w:tcW w:w="138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8,0%</w:t>
            </w:r>
          </w:p>
        </w:tc>
      </w:tr>
      <w:tr w:rsidR="00913197">
        <w:trPr>
          <w:trHeight w:val="578"/>
        </w:trPr>
        <w:tc>
          <w:tcPr>
            <w:tcW w:w="269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Malformation</w:t>
            </w:r>
            <w:r>
              <w:rPr>
                <w:rFonts w:ascii="Times New Roman" w:hAnsi="Times New Roman" w:cs="Times New Roman"/>
                <w:b/>
              </w:rPr>
              <w:t>s</w:t>
            </w:r>
          </w:p>
        </w:tc>
        <w:tc>
          <w:tcPr>
            <w:tcW w:w="927"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1</w:t>
            </w:r>
          </w:p>
        </w:tc>
        <w:tc>
          <w:tcPr>
            <w:tcW w:w="138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4,0%</w:t>
            </w:r>
          </w:p>
        </w:tc>
      </w:tr>
      <w:tr w:rsidR="00913197">
        <w:trPr>
          <w:trHeight w:val="567"/>
        </w:trPr>
        <w:tc>
          <w:tcPr>
            <w:tcW w:w="5000" w:type="pct"/>
            <w:gridSpan w:val="3"/>
            <w:noWrap/>
            <w:vAlign w:val="center"/>
          </w:tcPr>
          <w:p w:rsidR="00913197" w:rsidRDefault="000341BF">
            <w:pPr>
              <w:spacing w:after="0" w:line="240" w:lineRule="auto"/>
              <w:rPr>
                <w:rFonts w:ascii="Times New Roman" w:hAnsi="Times New Roman" w:cs="Times New Roman"/>
                <w:b/>
              </w:rPr>
            </w:pPr>
            <w:r>
              <w:rPr>
                <w:rFonts w:ascii="Times New Roman" w:hAnsi="Times New Roman" w:cs="Times New Roman"/>
                <w:b/>
              </w:rPr>
              <w:t>Indication de la DVE chez les adultes</w:t>
            </w:r>
          </w:p>
        </w:tc>
      </w:tr>
      <w:tr w:rsidR="00913197">
        <w:trPr>
          <w:trHeight w:val="417"/>
        </w:trPr>
        <w:tc>
          <w:tcPr>
            <w:tcW w:w="269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AVCH*</w:t>
            </w:r>
          </w:p>
        </w:tc>
        <w:tc>
          <w:tcPr>
            <w:tcW w:w="927" w:type="pct"/>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61</w:t>
            </w:r>
          </w:p>
        </w:tc>
        <w:tc>
          <w:tcPr>
            <w:tcW w:w="1381" w:type="pct"/>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73,5%</w:t>
            </w:r>
          </w:p>
        </w:tc>
      </w:tr>
      <w:tr w:rsidR="00913197">
        <w:trPr>
          <w:trHeight w:val="90"/>
        </w:trPr>
        <w:tc>
          <w:tcPr>
            <w:tcW w:w="269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HAS* avec rupture d'anévrisme</w:t>
            </w:r>
          </w:p>
        </w:tc>
        <w:tc>
          <w:tcPr>
            <w:tcW w:w="927" w:type="pct"/>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11</w:t>
            </w:r>
          </w:p>
        </w:tc>
        <w:tc>
          <w:tcPr>
            <w:tcW w:w="1381" w:type="pct"/>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13,3%</w:t>
            </w:r>
          </w:p>
        </w:tc>
      </w:tr>
      <w:tr w:rsidR="00913197">
        <w:trPr>
          <w:trHeight w:val="399"/>
        </w:trPr>
        <w:tc>
          <w:tcPr>
            <w:tcW w:w="269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Méningite</w:t>
            </w:r>
          </w:p>
        </w:tc>
        <w:tc>
          <w:tcPr>
            <w:tcW w:w="927" w:type="pct"/>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8</w:t>
            </w:r>
          </w:p>
        </w:tc>
        <w:tc>
          <w:tcPr>
            <w:tcW w:w="1381" w:type="pct"/>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9,6%</w:t>
            </w:r>
          </w:p>
        </w:tc>
      </w:tr>
      <w:tr w:rsidR="00913197">
        <w:trPr>
          <w:trHeight w:val="426"/>
        </w:trPr>
        <w:tc>
          <w:tcPr>
            <w:tcW w:w="2691" w:type="pct"/>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AVCI*</w:t>
            </w:r>
          </w:p>
        </w:tc>
        <w:tc>
          <w:tcPr>
            <w:tcW w:w="927" w:type="pct"/>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1</w:t>
            </w:r>
          </w:p>
        </w:tc>
        <w:tc>
          <w:tcPr>
            <w:tcW w:w="1381" w:type="pct"/>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2,4%</w:t>
            </w:r>
          </w:p>
        </w:tc>
      </w:tr>
      <w:tr w:rsidR="00913197">
        <w:trPr>
          <w:trHeight w:val="431"/>
        </w:trPr>
        <w:tc>
          <w:tcPr>
            <w:tcW w:w="2691" w:type="pct"/>
            <w:tcBorders>
              <w:bottom w:val="single" w:sz="4" w:space="0" w:color="auto"/>
            </w:tcBorders>
            <w:noWrap/>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Dysfonctionnement DVP*</w:t>
            </w:r>
          </w:p>
        </w:tc>
        <w:tc>
          <w:tcPr>
            <w:tcW w:w="927" w:type="pct"/>
            <w:tcBorders>
              <w:bottom w:val="single" w:sz="4" w:space="0" w:color="auto"/>
            </w:tcBorders>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2</w:t>
            </w:r>
          </w:p>
        </w:tc>
        <w:tc>
          <w:tcPr>
            <w:tcW w:w="1381" w:type="pct"/>
            <w:tcBorders>
              <w:bottom w:val="single" w:sz="4" w:space="0" w:color="auto"/>
            </w:tcBorders>
            <w:vAlign w:val="center"/>
          </w:tcPr>
          <w:p w:rsidR="00913197" w:rsidRDefault="000341BF">
            <w:pPr>
              <w:spacing w:after="0" w:line="240" w:lineRule="auto"/>
              <w:rPr>
                <w:rFonts w:ascii="Times New Roman" w:hAnsi="Times New Roman" w:cs="Times New Roman"/>
              </w:rPr>
            </w:pPr>
            <w:r>
              <w:rPr>
                <w:rFonts w:ascii="Times New Roman" w:hAnsi="Times New Roman" w:cs="Times New Roman"/>
              </w:rPr>
              <w:t>2,4%</w:t>
            </w:r>
          </w:p>
        </w:tc>
      </w:tr>
    </w:tbl>
    <w:p w:rsidR="00913197" w:rsidRDefault="000341BF">
      <w:pPr>
        <w:pStyle w:val="NormalWeb"/>
        <w:shd w:val="clear" w:color="auto" w:fill="FFFFFF"/>
        <w:spacing w:before="0" w:beforeAutospacing="0" w:after="0" w:afterAutospacing="0"/>
        <w:jc w:val="both"/>
        <w:rPr>
          <w:rFonts w:eastAsia="Segoe UI"/>
          <w:i/>
          <w:iCs/>
          <w:sz w:val="22"/>
          <w:szCs w:val="22"/>
          <w:shd w:val="clear" w:color="auto" w:fill="FFFFFF"/>
        </w:rPr>
      </w:pPr>
      <w:r>
        <w:rPr>
          <w:rFonts w:eastAsia="Segoe UI"/>
          <w:i/>
          <w:iCs/>
          <w:sz w:val="22"/>
          <w:szCs w:val="22"/>
          <w:shd w:val="clear" w:color="auto" w:fill="FFFFFF"/>
        </w:rPr>
        <w:t>*DVE : Dérivation ventriculaire externe, DVP : Dérivation ventriculo-péritonéale, AVCH : Accident vasculaire cérébral hémorragique, HSA : Hémorragie sous-arachnoidienne, AVCI : Accident vasculaire cérébral ischémique</w:t>
      </w:r>
    </w:p>
    <w:p w:rsidR="00913197" w:rsidRDefault="000341BF">
      <w:pPr>
        <w:pStyle w:val="NormalWeb"/>
        <w:shd w:val="clear" w:color="auto" w:fill="FFFFFF"/>
        <w:spacing w:before="0" w:beforeAutospacing="0" w:after="0" w:afterAutospacing="0"/>
        <w:jc w:val="both"/>
        <w:rPr>
          <w:rFonts w:eastAsia="Segoe UI"/>
          <w:sz w:val="22"/>
          <w:szCs w:val="22"/>
          <w:shd w:val="clear" w:color="auto" w:fill="FFFFFF"/>
        </w:rPr>
      </w:pPr>
      <w:r>
        <w:rPr>
          <w:rFonts w:eastAsia="Segoe UI"/>
          <w:sz w:val="22"/>
          <w:szCs w:val="22"/>
          <w:shd w:val="clear" w:color="auto" w:fill="FFFFFF"/>
        </w:rPr>
        <w:t xml:space="preserve">3. </w:t>
      </w:r>
      <w:r>
        <w:rPr>
          <w:rStyle w:val="lev"/>
          <w:rFonts w:eastAsia="Segoe UI"/>
          <w:sz w:val="22"/>
          <w:szCs w:val="22"/>
        </w:rPr>
        <w:t xml:space="preserve">Données cliniques  </w:t>
      </w:r>
      <w:r>
        <w:rPr>
          <w:rFonts w:eastAsia="Segoe UI"/>
          <w:sz w:val="22"/>
          <w:szCs w:val="22"/>
        </w:rPr>
        <w:br/>
      </w:r>
      <w:r>
        <w:rPr>
          <w:rFonts w:eastAsia="Segoe UI"/>
          <w:sz w:val="22"/>
          <w:szCs w:val="22"/>
          <w:shd w:val="clear" w:color="auto" w:fill="FFFFFF"/>
        </w:rPr>
        <w:t xml:space="preserve">À l’admission, les antécédents les plus fréquents étaient l’hypertension artérielle (65,8%), une hospitalisation antérieure (51%) et l’éthylo-tabagisme (21,3%). </w:t>
      </w:r>
      <w:r>
        <w:rPr>
          <w:rFonts w:eastAsia="Segoe UI"/>
          <w:sz w:val="22"/>
          <w:szCs w:val="22"/>
        </w:rPr>
        <w:t>Avant la DVE, 38,0% des patients avaient un score à l’échelle de Glasgow entre 9 et 11 et 32,4% entre 7 et 9. Les signes cliniques les plus fréquents, avant laprocédure, étaient les céphalées (83,3%), les déficits neurologiques (51,8%) et les vomissements (38,9%).</w:t>
      </w:r>
      <w:r>
        <w:rPr>
          <w:rFonts w:eastAsia="Segoe UI"/>
          <w:sz w:val="22"/>
          <w:szCs w:val="22"/>
          <w:shd w:val="clear" w:color="auto" w:fill="FFFFFF"/>
        </w:rPr>
        <w:t xml:space="preserve"> Le score </w:t>
      </w:r>
      <w:r>
        <w:rPr>
          <w:rFonts w:eastAsia="Segoe UI"/>
          <w:sz w:val="22"/>
          <w:szCs w:val="22"/>
        </w:rPr>
        <w:t xml:space="preserve">à l’échelle </w:t>
      </w:r>
      <w:r>
        <w:rPr>
          <w:rFonts w:eastAsia="Segoe UI"/>
          <w:sz w:val="22"/>
          <w:szCs w:val="22"/>
          <w:shd w:val="clear" w:color="auto" w:fill="FFFFFF"/>
        </w:rPr>
        <w:t>de Glasgow médian préopératoire était de 9 [7-12].</w:t>
      </w:r>
    </w:p>
    <w:p w:rsidR="00913197" w:rsidRDefault="000341BF">
      <w:pPr>
        <w:pStyle w:val="NormalWeb"/>
        <w:shd w:val="clear" w:color="auto" w:fill="FFFFFF"/>
        <w:spacing w:before="0" w:beforeAutospacing="0" w:after="0" w:afterAutospacing="0"/>
        <w:jc w:val="both"/>
        <w:rPr>
          <w:rFonts w:eastAsia="Segoe UI"/>
          <w:sz w:val="22"/>
          <w:szCs w:val="22"/>
          <w:shd w:val="clear" w:color="auto" w:fill="FFFFFF"/>
        </w:rPr>
      </w:pPr>
      <w:r>
        <w:rPr>
          <w:rFonts w:eastAsia="Segoe UI"/>
          <w:sz w:val="22"/>
          <w:szCs w:val="22"/>
          <w:shd w:val="clear" w:color="auto" w:fill="FFFFFF"/>
        </w:rPr>
        <w:t>Une amélioration du score de Glasgow en postopératoire immédiat a été observé. Quant aux paramètres vitaux, 6,5% des patients présentaient une hypotension, 40,7% une tachycardie et 11,1% une fièvre en postopératoire. Une augmentation des patients présentaient un déficit neurologique (51,8%) et une anomalie pupillaire  (29,6%) a été observé aussi (Tableau II).</w:t>
      </w:r>
    </w:p>
    <w:p w:rsidR="00913197" w:rsidRDefault="000341BF">
      <w:pPr>
        <w:pStyle w:val="NormalWeb"/>
        <w:shd w:val="clear" w:color="auto" w:fill="FFFFFF"/>
        <w:spacing w:before="0" w:beforeAutospacing="0" w:after="0" w:afterAutospacing="0"/>
        <w:jc w:val="both"/>
        <w:rPr>
          <w:rFonts w:eastAsia="Segoe UI"/>
          <w:b/>
          <w:bCs/>
          <w:i/>
          <w:iCs/>
          <w:sz w:val="22"/>
          <w:szCs w:val="22"/>
          <w:shd w:val="clear" w:color="auto" w:fill="FFFFFF"/>
        </w:rPr>
      </w:pPr>
      <w:r>
        <w:rPr>
          <w:i/>
          <w:iCs/>
          <w:sz w:val="22"/>
          <w:szCs w:val="22"/>
          <w:shd w:val="clear" w:color="auto" w:fill="FFFFFF"/>
        </w:rPr>
        <w:lastRenderedPageBreak/>
        <w:t>réquence respiratoire, SpO2 : Saturation pulsée en oxygène</w:t>
      </w:r>
    </w:p>
    <w:p w:rsidR="00913197" w:rsidRDefault="000341BF">
      <w:pPr>
        <w:pStyle w:val="NormalWeb"/>
        <w:numPr>
          <w:ilvl w:val="0"/>
          <w:numId w:val="3"/>
        </w:numPr>
        <w:shd w:val="clear" w:color="auto" w:fill="FFFFFF"/>
        <w:spacing w:before="0" w:beforeAutospacing="0" w:after="0" w:afterAutospacing="0"/>
        <w:jc w:val="both"/>
        <w:rPr>
          <w:rFonts w:eastAsia="Segoe UI"/>
          <w:b/>
          <w:bCs/>
          <w:sz w:val="22"/>
          <w:szCs w:val="22"/>
          <w:shd w:val="clear" w:color="auto" w:fill="FFFFFF"/>
        </w:rPr>
      </w:pPr>
      <w:r>
        <w:rPr>
          <w:rStyle w:val="lev"/>
          <w:rFonts w:eastAsia="Segoe UI"/>
          <w:sz w:val="22"/>
          <w:szCs w:val="22"/>
          <w:shd w:val="clear" w:color="auto" w:fill="FFFFFF"/>
        </w:rPr>
        <w:t>Prise en charge et évolution en réanimation</w:t>
      </w:r>
      <w:r>
        <w:rPr>
          <w:rFonts w:eastAsia="Segoe UI"/>
          <w:sz w:val="22"/>
          <w:szCs w:val="22"/>
          <w:shd w:val="clear" w:color="auto" w:fill="FFFFFF"/>
        </w:rPr>
        <w:br/>
        <w:t>La totalité des patients a reçu une oxygénothérapie, 75% ont été intubés et 64,8% ont nécessité une ventilation mécanique invasive. Une antibiothérapie (majoritairement par céphalosporine de 3</w:t>
      </w:r>
      <w:r>
        <w:rPr>
          <w:rFonts w:eastAsia="Segoe UI"/>
          <w:sz w:val="22"/>
          <w:szCs w:val="22"/>
          <w:shd w:val="clear" w:color="auto" w:fill="FFFFFF"/>
          <w:vertAlign w:val="superscript"/>
        </w:rPr>
        <w:t>ème</w:t>
      </w:r>
      <w:r>
        <w:rPr>
          <w:rFonts w:eastAsia="Segoe UI"/>
          <w:sz w:val="22"/>
          <w:szCs w:val="22"/>
          <w:shd w:val="clear" w:color="auto" w:fill="FFFFFF"/>
        </w:rPr>
        <w:t xml:space="preserve"> génération) a été administrée à 98,1% des patients, et une osmothérapie (mannitol à 20%) à 52,8%.</w:t>
      </w:r>
    </w:p>
    <w:p w:rsidR="00913197" w:rsidRDefault="000341BF">
      <w:pPr>
        <w:pStyle w:val="NormalWeb"/>
        <w:shd w:val="clear" w:color="auto" w:fill="FFFFFF"/>
        <w:spacing w:before="0" w:beforeAutospacing="0" w:after="0" w:afterAutospacing="0"/>
        <w:jc w:val="both"/>
        <w:rPr>
          <w:rFonts w:eastAsia="Segoe UI"/>
          <w:b/>
          <w:bCs/>
          <w:sz w:val="22"/>
          <w:szCs w:val="22"/>
          <w:shd w:val="clear" w:color="auto" w:fill="FFFFFF"/>
        </w:rPr>
      </w:pPr>
      <w:r>
        <w:rPr>
          <w:rFonts w:eastAsia="Segoe UI"/>
          <w:sz w:val="22"/>
          <w:szCs w:val="22"/>
          <w:shd w:val="clear" w:color="auto" w:fill="FFFFFF"/>
        </w:rPr>
        <w:t>L’évolution clinique a été marquée par une aggravation neurologique dans 50,9% des cas. Des complications sont survenues chez 47,2% des patients, principalement infectieuses (30,5%) et d’engagement cérébral (26,8%) (figure 2). La durée médiane de séjour en réanimation était de 4 [2-13] jours.</w:t>
      </w:r>
    </w:p>
    <w:p w:rsidR="00913197" w:rsidRDefault="000341BF">
      <w:pPr>
        <w:pStyle w:val="NormalWeb"/>
        <w:shd w:val="clear" w:color="auto" w:fill="FFFFFF"/>
        <w:spacing w:before="0" w:beforeAutospacing="0" w:after="0" w:afterAutospacing="0"/>
        <w:jc w:val="both"/>
        <w:rPr>
          <w:rFonts w:eastAsia="Segoe UI"/>
          <w:sz w:val="22"/>
          <w:szCs w:val="22"/>
          <w:shd w:val="clear" w:color="auto" w:fill="FFFFFF"/>
        </w:rPr>
      </w:pPr>
      <w:r>
        <w:rPr>
          <w:rFonts w:eastAsia="Segoe UI"/>
          <w:sz w:val="22"/>
          <w:szCs w:val="22"/>
          <w:shd w:val="clear" w:color="auto" w:fill="FFFFFF"/>
        </w:rPr>
        <w:t xml:space="preserve">Parmi les complications infectieuses, </w:t>
      </w:r>
      <w:r>
        <w:rPr>
          <w:sz w:val="22"/>
          <w:szCs w:val="22"/>
        </w:rPr>
        <w:t>15 patients (13,9%) avaient pu réaliser un  examen bactériologique du LCS retrouvant un résultat positif ; l’infection par les entérobactéries a été la plus fréquente.</w:t>
      </w:r>
    </w:p>
    <w:p w:rsidR="00913197" w:rsidRDefault="000341BF">
      <w:pPr>
        <w:pStyle w:val="NormalWeb"/>
        <w:shd w:val="clear" w:color="auto" w:fill="FFFFFF"/>
        <w:spacing w:before="0" w:beforeAutospacing="0" w:after="0" w:afterAutospacing="0"/>
        <w:jc w:val="both"/>
        <w:rPr>
          <w:rFonts w:eastAsia="Segoe UI"/>
          <w:sz w:val="22"/>
          <w:szCs w:val="22"/>
          <w:shd w:val="clear" w:color="auto" w:fill="FFFFFF"/>
        </w:rPr>
      </w:pPr>
      <w:r>
        <w:rPr>
          <w:rStyle w:val="lev"/>
          <w:rFonts w:eastAsia="Segoe UI"/>
          <w:sz w:val="22"/>
          <w:szCs w:val="22"/>
          <w:shd w:val="clear" w:color="auto" w:fill="FFFFFF"/>
        </w:rPr>
        <w:t>Tableau II : Paramètres cliniques pré- et postopératoires</w:t>
      </w:r>
    </w:p>
    <w:tbl>
      <w:tblPr>
        <w:tblW w:w="4808" w:type="dxa"/>
        <w:tblLayout w:type="fixed"/>
        <w:tblCellMar>
          <w:top w:w="15" w:type="dxa"/>
          <w:left w:w="15" w:type="dxa"/>
          <w:bottom w:w="15" w:type="dxa"/>
          <w:right w:w="15" w:type="dxa"/>
        </w:tblCellMar>
        <w:tblLook w:val="04A0" w:firstRow="1" w:lastRow="0" w:firstColumn="1" w:lastColumn="0" w:noHBand="0" w:noVBand="1"/>
      </w:tblPr>
      <w:tblGrid>
        <w:gridCol w:w="1654"/>
        <w:gridCol w:w="1656"/>
        <w:gridCol w:w="1498"/>
      </w:tblGrid>
      <w:tr w:rsidR="00913197">
        <w:trPr>
          <w:tblHeader/>
        </w:trPr>
        <w:tc>
          <w:tcPr>
            <w:tcW w:w="1654" w:type="dxa"/>
            <w:tcBorders>
              <w:top w:val="single" w:sz="4" w:space="0" w:color="auto"/>
              <w:bottom w:val="single" w:sz="4" w:space="0" w:color="auto"/>
            </w:tcBorders>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Fonts w:ascii="Times New Roman" w:eastAsia="Segoe UI" w:hAnsi="Times New Roman" w:cs="Times New Roman"/>
                <w:b/>
                <w:bCs/>
              </w:rPr>
              <w:t>Paramètres</w:t>
            </w:r>
          </w:p>
        </w:tc>
        <w:tc>
          <w:tcPr>
            <w:tcW w:w="1656" w:type="dxa"/>
            <w:tcBorders>
              <w:top w:val="single" w:sz="4" w:space="0" w:color="auto"/>
              <w:bottom w:val="single" w:sz="4" w:space="0" w:color="auto"/>
            </w:tcBorders>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Fonts w:ascii="Times New Roman" w:eastAsia="Segoe UI" w:hAnsi="Times New Roman" w:cs="Times New Roman"/>
                <w:b/>
                <w:bCs/>
              </w:rPr>
              <w:t>Préopératoire</w:t>
            </w:r>
          </w:p>
        </w:tc>
        <w:tc>
          <w:tcPr>
            <w:tcW w:w="1498" w:type="dxa"/>
            <w:tcBorders>
              <w:top w:val="single" w:sz="4" w:space="0" w:color="auto"/>
              <w:bottom w:val="single" w:sz="4" w:space="0" w:color="auto"/>
            </w:tcBorders>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b/>
                <w:bCs/>
              </w:rPr>
            </w:pPr>
            <w:r>
              <w:rPr>
                <w:rFonts w:ascii="Times New Roman" w:eastAsia="Segoe UI" w:hAnsi="Times New Roman" w:cs="Times New Roman"/>
                <w:b/>
                <w:bCs/>
              </w:rPr>
              <w:t>Postopératoire</w:t>
            </w:r>
          </w:p>
        </w:tc>
      </w:tr>
      <w:tr w:rsidR="00913197">
        <w:tc>
          <w:tcPr>
            <w:tcW w:w="1654" w:type="dxa"/>
            <w:tcBorders>
              <w:top w:val="single" w:sz="4" w:space="0" w:color="auto"/>
            </w:tcBorders>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Style w:val="lev"/>
                <w:rFonts w:ascii="Times New Roman" w:eastAsia="Segoe UI" w:hAnsi="Times New Roman" w:cs="Times New Roman"/>
                <w:b w:val="0"/>
                <w:bCs w:val="0"/>
              </w:rPr>
              <w:t>Hypotension (TAS* &lt;110 mmHg)</w:t>
            </w:r>
          </w:p>
        </w:tc>
        <w:tc>
          <w:tcPr>
            <w:tcW w:w="1656" w:type="dxa"/>
            <w:tcBorders>
              <w:top w:val="single" w:sz="4" w:space="0" w:color="auto"/>
            </w:tcBorders>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03 (2,8%)</w:t>
            </w:r>
          </w:p>
        </w:tc>
        <w:tc>
          <w:tcPr>
            <w:tcW w:w="1498" w:type="dxa"/>
            <w:tcBorders>
              <w:top w:val="single" w:sz="4" w:space="0" w:color="auto"/>
            </w:tcBorders>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07 (6,5%)</w:t>
            </w:r>
          </w:p>
        </w:tc>
      </w:tr>
      <w:tr w:rsidR="00913197">
        <w:tc>
          <w:tcPr>
            <w:tcW w:w="1654" w:type="dxa"/>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Style w:val="lev"/>
                <w:rFonts w:ascii="Times New Roman" w:eastAsia="Segoe UI" w:hAnsi="Times New Roman" w:cs="Times New Roman"/>
                <w:b w:val="0"/>
                <w:bCs w:val="0"/>
              </w:rPr>
              <w:t>Hypertension (TAS* &gt;160 mmHg)</w:t>
            </w:r>
          </w:p>
        </w:tc>
        <w:tc>
          <w:tcPr>
            <w:tcW w:w="1656" w:type="dxa"/>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28 (25,9%)</w:t>
            </w:r>
          </w:p>
        </w:tc>
        <w:tc>
          <w:tcPr>
            <w:tcW w:w="1498" w:type="dxa"/>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17 (15,7%)</w:t>
            </w:r>
          </w:p>
        </w:tc>
      </w:tr>
      <w:tr w:rsidR="00913197">
        <w:tc>
          <w:tcPr>
            <w:tcW w:w="1654" w:type="dxa"/>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Style w:val="lev"/>
                <w:rFonts w:ascii="Times New Roman" w:eastAsia="Segoe UI" w:hAnsi="Times New Roman" w:cs="Times New Roman"/>
                <w:b w:val="0"/>
                <w:bCs w:val="0"/>
              </w:rPr>
              <w:t>Tachycardie (FC* &gt;90 bpm)</w:t>
            </w:r>
          </w:p>
        </w:tc>
        <w:tc>
          <w:tcPr>
            <w:tcW w:w="1656" w:type="dxa"/>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37 (34,3%)</w:t>
            </w:r>
          </w:p>
        </w:tc>
        <w:tc>
          <w:tcPr>
            <w:tcW w:w="1498" w:type="dxa"/>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44 (40,7%)</w:t>
            </w:r>
          </w:p>
        </w:tc>
      </w:tr>
      <w:tr w:rsidR="00913197">
        <w:tc>
          <w:tcPr>
            <w:tcW w:w="1654" w:type="dxa"/>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Style w:val="lev"/>
                <w:rFonts w:ascii="Times New Roman" w:eastAsia="Segoe UI" w:hAnsi="Times New Roman" w:cs="Times New Roman"/>
                <w:b w:val="0"/>
                <w:bCs w:val="0"/>
              </w:rPr>
              <w:t>Fièvre (T°* ≥ 38°C)</w:t>
            </w:r>
          </w:p>
        </w:tc>
        <w:tc>
          <w:tcPr>
            <w:tcW w:w="1656" w:type="dxa"/>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6 (5,6%)</w:t>
            </w:r>
          </w:p>
        </w:tc>
        <w:tc>
          <w:tcPr>
            <w:tcW w:w="1498" w:type="dxa"/>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12 (11,1%)</w:t>
            </w:r>
          </w:p>
        </w:tc>
      </w:tr>
      <w:tr w:rsidR="00913197">
        <w:tc>
          <w:tcPr>
            <w:tcW w:w="1654" w:type="dxa"/>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Style w:val="lev"/>
                <w:rFonts w:ascii="Times New Roman" w:eastAsia="Segoe UI" w:hAnsi="Times New Roman" w:cs="Times New Roman"/>
                <w:b w:val="0"/>
                <w:bCs w:val="0"/>
              </w:rPr>
              <w:t>Polypnée (FR* &gt;22 cpm)</w:t>
            </w:r>
          </w:p>
        </w:tc>
        <w:tc>
          <w:tcPr>
            <w:tcW w:w="1656" w:type="dxa"/>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47 (43,5%)</w:t>
            </w:r>
          </w:p>
        </w:tc>
        <w:tc>
          <w:tcPr>
            <w:tcW w:w="1498" w:type="dxa"/>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25 (23,1%)</w:t>
            </w:r>
          </w:p>
        </w:tc>
      </w:tr>
      <w:tr w:rsidR="00913197">
        <w:tc>
          <w:tcPr>
            <w:tcW w:w="1654" w:type="dxa"/>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Style w:val="lev"/>
                <w:rFonts w:ascii="Times New Roman" w:eastAsia="Segoe UI" w:hAnsi="Times New Roman" w:cs="Times New Roman"/>
                <w:b w:val="0"/>
                <w:bCs w:val="0"/>
              </w:rPr>
              <w:t>Désaturation (SpO</w:t>
            </w:r>
            <w:r>
              <w:rPr>
                <w:rStyle w:val="lev"/>
                <w:rFonts w:ascii="Times New Roman" w:eastAsia="Segoe UI" w:hAnsi="Times New Roman" w:cs="Times New Roman"/>
                <w:b w:val="0"/>
                <w:bCs w:val="0"/>
                <w:vertAlign w:val="subscript"/>
              </w:rPr>
              <w:t>2</w:t>
            </w:r>
            <w:r>
              <w:rPr>
                <w:rStyle w:val="lev"/>
                <w:rFonts w:ascii="Times New Roman" w:eastAsia="Segoe UI" w:hAnsi="Times New Roman" w:cs="Times New Roman"/>
                <w:b w:val="0"/>
                <w:bCs w:val="0"/>
              </w:rPr>
              <w:t>* &lt;90%)</w:t>
            </w:r>
          </w:p>
        </w:tc>
        <w:tc>
          <w:tcPr>
            <w:tcW w:w="1656" w:type="dxa"/>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3 (2,8%)</w:t>
            </w:r>
          </w:p>
        </w:tc>
        <w:tc>
          <w:tcPr>
            <w:tcW w:w="1498" w:type="dxa"/>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5 (4,6%)</w:t>
            </w:r>
          </w:p>
        </w:tc>
      </w:tr>
      <w:tr w:rsidR="00913197">
        <w:trPr>
          <w:tblHeader/>
        </w:trPr>
        <w:tc>
          <w:tcPr>
            <w:tcW w:w="1654" w:type="dxa"/>
            <w:tcBorders>
              <w:top w:val="nil"/>
            </w:tcBorders>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Fonts w:ascii="Times New Roman" w:eastAsia="Segoe UI" w:hAnsi="Times New Roman" w:cs="Times New Roman"/>
                <w:b/>
                <w:bCs/>
              </w:rPr>
              <w:t>Signes cliniques</w:t>
            </w:r>
          </w:p>
        </w:tc>
        <w:tc>
          <w:tcPr>
            <w:tcW w:w="1656" w:type="dxa"/>
            <w:tcBorders>
              <w:top w:val="nil"/>
            </w:tcBorders>
            <w:tcMar>
              <w:top w:w="100" w:type="dxa"/>
              <w:left w:w="160" w:type="dxa"/>
              <w:bottom w:w="100" w:type="dxa"/>
              <w:right w:w="160" w:type="dxa"/>
            </w:tcMar>
            <w:vAlign w:val="center"/>
          </w:tcPr>
          <w:p w:rsidR="00913197" w:rsidRDefault="00913197">
            <w:pPr>
              <w:spacing w:after="0" w:line="240" w:lineRule="auto"/>
              <w:jc w:val="both"/>
              <w:rPr>
                <w:rFonts w:ascii="Times New Roman" w:eastAsia="Segoe UI" w:hAnsi="Times New Roman" w:cs="Times New Roman"/>
                <w:b/>
                <w:bCs/>
              </w:rPr>
            </w:pPr>
          </w:p>
        </w:tc>
        <w:tc>
          <w:tcPr>
            <w:tcW w:w="1498" w:type="dxa"/>
            <w:tcBorders>
              <w:top w:val="nil"/>
            </w:tcBorders>
            <w:tcMar>
              <w:top w:w="100" w:type="dxa"/>
              <w:left w:w="0" w:type="dxa"/>
              <w:bottom w:w="100" w:type="dxa"/>
            </w:tcMar>
            <w:vAlign w:val="center"/>
          </w:tcPr>
          <w:p w:rsidR="00913197" w:rsidRDefault="00913197">
            <w:pPr>
              <w:spacing w:after="0" w:line="240" w:lineRule="auto"/>
              <w:jc w:val="both"/>
              <w:rPr>
                <w:rFonts w:ascii="Times New Roman" w:eastAsia="Segoe UI" w:hAnsi="Times New Roman" w:cs="Times New Roman"/>
                <w:b/>
                <w:bCs/>
              </w:rPr>
            </w:pPr>
          </w:p>
        </w:tc>
      </w:tr>
      <w:tr w:rsidR="00913197">
        <w:tc>
          <w:tcPr>
            <w:tcW w:w="1654" w:type="dxa"/>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Style w:val="lev"/>
                <w:rFonts w:ascii="Times New Roman" w:eastAsia="Segoe UI" w:hAnsi="Times New Roman" w:cs="Times New Roman"/>
                <w:b w:val="0"/>
                <w:bCs w:val="0"/>
              </w:rPr>
              <w:t>Crises convulsives</w:t>
            </w:r>
          </w:p>
        </w:tc>
        <w:tc>
          <w:tcPr>
            <w:tcW w:w="1656" w:type="dxa"/>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7 (6,5%)</w:t>
            </w:r>
          </w:p>
        </w:tc>
        <w:tc>
          <w:tcPr>
            <w:tcW w:w="1498" w:type="dxa"/>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2 (1,8%)</w:t>
            </w:r>
          </w:p>
        </w:tc>
      </w:tr>
      <w:tr w:rsidR="00913197">
        <w:tc>
          <w:tcPr>
            <w:tcW w:w="1654" w:type="dxa"/>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Style w:val="lev"/>
                <w:rFonts w:ascii="Times New Roman" w:eastAsia="Segoe UI" w:hAnsi="Times New Roman" w:cs="Times New Roman"/>
                <w:b w:val="0"/>
                <w:bCs w:val="0"/>
              </w:rPr>
              <w:lastRenderedPageBreak/>
              <w:t>Céphalées</w:t>
            </w:r>
          </w:p>
        </w:tc>
        <w:tc>
          <w:tcPr>
            <w:tcW w:w="1656" w:type="dxa"/>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56 (51,8%)</w:t>
            </w:r>
          </w:p>
        </w:tc>
        <w:tc>
          <w:tcPr>
            <w:tcW w:w="1498" w:type="dxa"/>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10 (9,3%)</w:t>
            </w:r>
          </w:p>
        </w:tc>
      </w:tr>
      <w:tr w:rsidR="00913197">
        <w:tc>
          <w:tcPr>
            <w:tcW w:w="1654" w:type="dxa"/>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Style w:val="lev"/>
                <w:rFonts w:ascii="Times New Roman" w:eastAsia="Segoe UI" w:hAnsi="Times New Roman" w:cs="Times New Roman"/>
                <w:b w:val="0"/>
                <w:bCs w:val="0"/>
              </w:rPr>
              <w:t>Nausées</w:t>
            </w:r>
          </w:p>
        </w:tc>
        <w:tc>
          <w:tcPr>
            <w:tcW w:w="1656" w:type="dxa"/>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13 (12,0%)</w:t>
            </w:r>
          </w:p>
        </w:tc>
        <w:tc>
          <w:tcPr>
            <w:tcW w:w="1498" w:type="dxa"/>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10 (9,3%)</w:t>
            </w:r>
          </w:p>
        </w:tc>
      </w:tr>
      <w:tr w:rsidR="00913197">
        <w:tc>
          <w:tcPr>
            <w:tcW w:w="1654" w:type="dxa"/>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Style w:val="lev"/>
                <w:rFonts w:ascii="Times New Roman" w:eastAsia="Segoe UI" w:hAnsi="Times New Roman" w:cs="Times New Roman"/>
                <w:b w:val="0"/>
                <w:bCs w:val="0"/>
              </w:rPr>
              <w:t>Vomissements</w:t>
            </w:r>
          </w:p>
        </w:tc>
        <w:tc>
          <w:tcPr>
            <w:tcW w:w="1656" w:type="dxa"/>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23 (21,3%)</w:t>
            </w:r>
          </w:p>
        </w:tc>
        <w:tc>
          <w:tcPr>
            <w:tcW w:w="1498" w:type="dxa"/>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2 (1,8%)</w:t>
            </w:r>
          </w:p>
        </w:tc>
      </w:tr>
      <w:tr w:rsidR="00913197">
        <w:tc>
          <w:tcPr>
            <w:tcW w:w="1654" w:type="dxa"/>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Style w:val="lev"/>
                <w:rFonts w:ascii="Times New Roman" w:eastAsia="Segoe UI" w:hAnsi="Times New Roman" w:cs="Times New Roman"/>
                <w:b w:val="0"/>
                <w:bCs w:val="0"/>
              </w:rPr>
              <w:t>Déficit neurologique</w:t>
            </w:r>
          </w:p>
        </w:tc>
        <w:tc>
          <w:tcPr>
            <w:tcW w:w="1656" w:type="dxa"/>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50 (46,3%)</w:t>
            </w:r>
          </w:p>
        </w:tc>
        <w:tc>
          <w:tcPr>
            <w:tcW w:w="1498" w:type="dxa"/>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56 (51,8%)</w:t>
            </w:r>
          </w:p>
        </w:tc>
      </w:tr>
      <w:tr w:rsidR="00913197">
        <w:tc>
          <w:tcPr>
            <w:tcW w:w="1654" w:type="dxa"/>
            <w:tcBorders>
              <w:bottom w:val="single" w:sz="4" w:space="0" w:color="auto"/>
            </w:tcBorders>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rPr>
            </w:pPr>
            <w:r>
              <w:rPr>
                <w:rStyle w:val="lev"/>
                <w:rFonts w:ascii="Times New Roman" w:eastAsia="Segoe UI" w:hAnsi="Times New Roman" w:cs="Times New Roman"/>
                <w:b w:val="0"/>
                <w:bCs w:val="0"/>
              </w:rPr>
              <w:t>Anomalies pupillaires</w:t>
            </w:r>
          </w:p>
        </w:tc>
        <w:tc>
          <w:tcPr>
            <w:tcW w:w="1656" w:type="dxa"/>
            <w:tcBorders>
              <w:bottom w:val="single" w:sz="4" w:space="0" w:color="auto"/>
            </w:tcBorders>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27 (25,0%)</w:t>
            </w:r>
          </w:p>
        </w:tc>
        <w:tc>
          <w:tcPr>
            <w:tcW w:w="1498" w:type="dxa"/>
            <w:tcBorders>
              <w:bottom w:val="single" w:sz="4" w:space="0" w:color="auto"/>
            </w:tcBorders>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rPr>
            </w:pPr>
            <w:r>
              <w:rPr>
                <w:rFonts w:ascii="Times New Roman" w:eastAsia="Segoe UI" w:hAnsi="Times New Roman" w:cs="Times New Roman"/>
              </w:rPr>
              <w:t>32 (29,6%)</w:t>
            </w:r>
          </w:p>
        </w:tc>
      </w:tr>
    </w:tbl>
    <w:p w:rsidR="00913197" w:rsidRDefault="000341BF">
      <w:pPr>
        <w:pStyle w:val="NormalWeb"/>
        <w:shd w:val="clear" w:color="auto" w:fill="FFFFFF"/>
        <w:spacing w:before="0" w:beforeAutospacing="0" w:after="0" w:afterAutospacing="0"/>
        <w:jc w:val="both"/>
        <w:rPr>
          <w:rFonts w:eastAsia="Segoe UI"/>
          <w:b/>
          <w:bCs/>
          <w:i/>
          <w:iCs/>
          <w:sz w:val="22"/>
          <w:szCs w:val="22"/>
          <w:shd w:val="clear" w:color="auto" w:fill="FFFFFF"/>
        </w:rPr>
      </w:pPr>
      <w:r>
        <w:rPr>
          <w:i/>
          <w:iCs/>
          <w:sz w:val="22"/>
          <w:szCs w:val="22"/>
          <w:shd w:val="clear" w:color="auto" w:fill="FFFFFF"/>
        </w:rPr>
        <w:t>TAS : Tension artérielle systolique, FC: Fréquence cardiaque, T° :Température, FR : Fréquence respiratoire, SpO2 : Saturation pulsée en oxygène</w:t>
      </w:r>
    </w:p>
    <w:p w:rsidR="00913197" w:rsidRDefault="000341BF">
      <w:pPr>
        <w:spacing w:after="0" w:line="240" w:lineRule="auto"/>
        <w:jc w:val="both"/>
        <w:rPr>
          <w:rFonts w:ascii="Times New Roman" w:eastAsia="Segoe UI" w:hAnsi="Times New Roman" w:cs="Times New Roman"/>
          <w:shd w:val="clear" w:color="auto" w:fill="FFFFFF"/>
        </w:rPr>
      </w:pPr>
      <w:r>
        <w:rPr>
          <w:noProof/>
          <w:lang w:eastAsia="fr-FR"/>
        </w:rPr>
        <w:drawing>
          <wp:inline distT="0" distB="0" distL="114300" distR="114300">
            <wp:extent cx="2981960" cy="1656715"/>
            <wp:effectExtent l="0" t="0" r="2540" b="6985"/>
            <wp:docPr id="1082"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3197" w:rsidRDefault="000341BF">
      <w:pPr>
        <w:pStyle w:val="NormalWeb"/>
        <w:shd w:val="clear" w:color="auto" w:fill="FFFFFF"/>
        <w:spacing w:before="0" w:beforeAutospacing="0" w:after="0" w:afterAutospacing="0"/>
        <w:jc w:val="both"/>
        <w:rPr>
          <w:i/>
          <w:iCs/>
          <w:sz w:val="22"/>
          <w:szCs w:val="22"/>
          <w:lang w:val="en-US" w:eastAsia="fr-FR"/>
        </w:rPr>
      </w:pPr>
      <w:r>
        <w:rPr>
          <w:i/>
          <w:iCs/>
          <w:sz w:val="22"/>
          <w:szCs w:val="22"/>
          <w:lang w:val="en-US" w:eastAsia="fr-FR"/>
        </w:rPr>
        <w:t>DVE : Dérivation ventriculo-péritonéale</w:t>
      </w:r>
    </w:p>
    <w:p w:rsidR="00913197" w:rsidRDefault="000341BF">
      <w:pPr>
        <w:pStyle w:val="NormalWeb"/>
        <w:shd w:val="clear" w:color="auto" w:fill="FFFFFF"/>
        <w:spacing w:before="0" w:beforeAutospacing="0" w:after="0" w:afterAutospacing="0"/>
        <w:jc w:val="both"/>
        <w:rPr>
          <w:b/>
          <w:bCs/>
          <w:sz w:val="22"/>
          <w:szCs w:val="22"/>
          <w:lang w:eastAsia="fr-FR"/>
        </w:rPr>
      </w:pPr>
      <w:r>
        <w:rPr>
          <w:b/>
          <w:bCs/>
          <w:sz w:val="22"/>
          <w:szCs w:val="22"/>
          <w:lang w:eastAsia="fr-FR"/>
        </w:rPr>
        <w:t>Figure 2 : les complications</w:t>
      </w:r>
      <w:r>
        <w:rPr>
          <w:b/>
          <w:bCs/>
          <w:sz w:val="22"/>
          <w:szCs w:val="22"/>
          <w:lang w:val="en-US" w:eastAsia="fr-FR"/>
        </w:rPr>
        <w:t xml:space="preserve"> p</w:t>
      </w:r>
      <w:r>
        <w:rPr>
          <w:b/>
          <w:bCs/>
          <w:sz w:val="22"/>
          <w:szCs w:val="22"/>
          <w:lang w:eastAsia="fr-FR"/>
        </w:rPr>
        <w:t>ostopératoires</w:t>
      </w:r>
    </w:p>
    <w:p w:rsidR="00913197" w:rsidRDefault="000341BF">
      <w:pPr>
        <w:pStyle w:val="NormalWeb"/>
        <w:numPr>
          <w:ilvl w:val="0"/>
          <w:numId w:val="3"/>
        </w:numPr>
        <w:shd w:val="clear" w:color="auto" w:fill="FFFFFF"/>
        <w:spacing w:before="0" w:beforeAutospacing="0" w:after="0" w:afterAutospacing="0"/>
        <w:jc w:val="both"/>
        <w:rPr>
          <w:rFonts w:eastAsia="Segoe UI"/>
          <w:sz w:val="22"/>
          <w:szCs w:val="22"/>
          <w:shd w:val="clear" w:color="auto" w:fill="FFFFFF"/>
        </w:rPr>
      </w:pPr>
      <w:r>
        <w:rPr>
          <w:rStyle w:val="lev"/>
          <w:rFonts w:eastAsia="Segoe UI"/>
          <w:sz w:val="22"/>
          <w:szCs w:val="22"/>
          <w:shd w:val="clear" w:color="auto" w:fill="FFFFFF"/>
        </w:rPr>
        <w:t>Devenir et mortalité</w:t>
      </w:r>
    </w:p>
    <w:p w:rsidR="00913197" w:rsidRDefault="000341BF">
      <w:pPr>
        <w:pStyle w:val="NormalWeb"/>
        <w:shd w:val="clear" w:color="auto" w:fill="FFFFFF"/>
        <w:spacing w:before="0" w:beforeAutospacing="0" w:after="0" w:afterAutospacing="0"/>
        <w:jc w:val="both"/>
        <w:rPr>
          <w:rFonts w:eastAsia="Segoe UI"/>
          <w:sz w:val="22"/>
          <w:szCs w:val="22"/>
          <w:shd w:val="clear" w:color="auto" w:fill="FFFFFF"/>
        </w:rPr>
      </w:pPr>
      <w:r>
        <w:rPr>
          <w:rFonts w:eastAsia="Segoe UI"/>
          <w:sz w:val="22"/>
          <w:szCs w:val="22"/>
          <w:shd w:val="clear" w:color="auto" w:fill="FFFFFF"/>
        </w:rPr>
        <w:t>La mortalité globale en réanimation était de 53,7% (n=58) (figure 3). Les causes principales de décès étaient l’engagement cérébral (26,8%) et le syndrome de détresse respiratoire aiguë (12,1%).</w:t>
      </w:r>
    </w:p>
    <w:p w:rsidR="00913197" w:rsidRDefault="000341BF">
      <w:pPr>
        <w:spacing w:after="0" w:line="240" w:lineRule="auto"/>
        <w:jc w:val="both"/>
        <w:rPr>
          <w:rFonts w:ascii="Times New Roman" w:eastAsia="Segoe UI" w:hAnsi="Times New Roman" w:cs="Times New Roman"/>
          <w:shd w:val="clear" w:color="auto" w:fill="FFFFFF"/>
        </w:rPr>
      </w:pPr>
      <w:r>
        <w:rPr>
          <w:noProof/>
          <w:lang w:eastAsia="fr-FR"/>
        </w:rPr>
        <w:drawing>
          <wp:inline distT="0" distB="0" distL="114300" distR="114300">
            <wp:extent cx="3048000" cy="2058035"/>
            <wp:effectExtent l="0" t="0" r="0" b="12065"/>
            <wp:docPr id="1088"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3197" w:rsidRDefault="000341BF">
      <w:pPr>
        <w:pStyle w:val="NormalWeb"/>
        <w:shd w:val="clear" w:color="auto" w:fill="FFFFFF"/>
        <w:spacing w:before="0" w:beforeAutospacing="0" w:after="0" w:afterAutospacing="0"/>
        <w:jc w:val="both"/>
        <w:rPr>
          <w:i/>
          <w:iCs/>
          <w:sz w:val="22"/>
          <w:szCs w:val="22"/>
          <w:lang w:eastAsia="fr-FR"/>
        </w:rPr>
      </w:pPr>
      <w:r>
        <w:rPr>
          <w:i/>
          <w:iCs/>
          <w:sz w:val="22"/>
          <w:szCs w:val="22"/>
          <w:lang w:eastAsia="fr-FR"/>
        </w:rPr>
        <w:t>SCAM : Sortie contre avis médical</w:t>
      </w:r>
    </w:p>
    <w:p w:rsidR="00913197" w:rsidRDefault="000341BF">
      <w:pPr>
        <w:spacing w:after="0" w:line="240" w:lineRule="auto"/>
        <w:jc w:val="both"/>
        <w:rPr>
          <w:rFonts w:ascii="Times New Roman" w:eastAsia="Segoe UI" w:hAnsi="Times New Roman" w:cs="Times New Roman"/>
          <w:shd w:val="clear" w:color="auto" w:fill="FFFFFF"/>
        </w:rPr>
      </w:pPr>
      <w:r>
        <w:rPr>
          <w:rFonts w:ascii="Times New Roman" w:hAnsi="Times New Roman" w:cs="Times New Roman"/>
          <w:b/>
          <w:bCs/>
          <w:lang w:eastAsia="fr-FR"/>
        </w:rPr>
        <w:t>Figure 3 : Issue des patients en réanimation</w:t>
      </w:r>
    </w:p>
    <w:p w:rsidR="00913197" w:rsidRDefault="00913197">
      <w:pPr>
        <w:spacing w:after="0" w:line="240" w:lineRule="auto"/>
        <w:jc w:val="both"/>
        <w:rPr>
          <w:rFonts w:ascii="Times New Roman" w:hAnsi="Times New Roman" w:cs="Times New Roman"/>
        </w:rPr>
      </w:pPr>
    </w:p>
    <w:p w:rsidR="00913197" w:rsidRDefault="000341BF">
      <w:pPr>
        <w:pStyle w:val="NormalWeb"/>
        <w:shd w:val="clear" w:color="auto" w:fill="FFFFFF"/>
        <w:spacing w:before="160" w:after="160"/>
        <w:jc w:val="both"/>
        <w:rPr>
          <w:rFonts w:eastAsia="Segoe UI"/>
          <w:b/>
          <w:bCs/>
          <w:sz w:val="22"/>
          <w:szCs w:val="22"/>
        </w:rPr>
      </w:pPr>
      <w:r>
        <w:rPr>
          <w:rStyle w:val="lev"/>
          <w:rFonts w:eastAsia="Segoe UI"/>
          <w:sz w:val="22"/>
          <w:szCs w:val="22"/>
          <w:shd w:val="clear" w:color="auto" w:fill="FFFFFF"/>
        </w:rPr>
        <w:t>5. Facteurs associés à la mortalité</w:t>
      </w:r>
      <w:r>
        <w:rPr>
          <w:rFonts w:eastAsia="Segoe UI"/>
          <w:sz w:val="22"/>
          <w:szCs w:val="22"/>
          <w:shd w:val="clear" w:color="auto" w:fill="FFFFFF"/>
        </w:rPr>
        <w:br/>
        <w:t>Les analyses, stratifiées par âge, ont identifié des facteurs associées à la mortalité. </w:t>
      </w:r>
    </w:p>
    <w:p w:rsidR="00913197" w:rsidRDefault="000341BF">
      <w:pPr>
        <w:pStyle w:val="NormalWeb"/>
        <w:jc w:val="both"/>
        <w:rPr>
          <w:rFonts w:eastAsia="Segoe UI"/>
          <w:sz w:val="22"/>
          <w:szCs w:val="22"/>
          <w:shd w:val="clear" w:color="auto" w:fill="FFFFFF"/>
        </w:rPr>
      </w:pPr>
      <w:r>
        <w:rPr>
          <w:rStyle w:val="lev"/>
          <w:rFonts w:eastAsia="Segoe UI"/>
          <w:sz w:val="22"/>
          <w:szCs w:val="22"/>
          <w:shd w:val="clear" w:color="auto" w:fill="FFFFFF"/>
        </w:rPr>
        <w:lastRenderedPageBreak/>
        <w:t>Chez l’enfant :</w:t>
      </w:r>
      <w:r>
        <w:rPr>
          <w:rFonts w:eastAsia="Segoe UI"/>
          <w:sz w:val="22"/>
          <w:szCs w:val="22"/>
          <w:shd w:val="clear" w:color="auto" w:fill="FFFFFF"/>
        </w:rPr>
        <w:t> Un score à l’échelle de Glasgow postopératoire bas (médiane : 7 vs 10 chez les survivants, p=0,0047), la présence d’anomalies pupillaires postopératoires (p=0,005), la nécessité d’une intubation (p=0,012), une aggravation neurologique (p&lt;0,001) et la survenue d’un engagement cérébral (p=0,042) (Tableau III).</w:t>
      </w:r>
    </w:p>
    <w:p w:rsidR="00913197" w:rsidRDefault="000341BF">
      <w:pPr>
        <w:pStyle w:val="NormalWeb"/>
        <w:jc w:val="both"/>
        <w:rPr>
          <w:rFonts w:eastAsia="Segoe UI"/>
          <w:sz w:val="22"/>
          <w:szCs w:val="22"/>
          <w:shd w:val="clear" w:color="auto" w:fill="FFFFFF"/>
        </w:rPr>
      </w:pPr>
      <w:r>
        <w:rPr>
          <w:rFonts w:eastAsia="Segoe UI"/>
          <w:b/>
          <w:bCs/>
          <w:sz w:val="22"/>
          <w:szCs w:val="22"/>
          <w:shd w:val="clear" w:color="auto" w:fill="FFFFFF"/>
        </w:rPr>
        <w:t>Tableau III : Facteurs associés à la mortalité chez les enfants</w:t>
      </w:r>
    </w:p>
    <w:tbl>
      <w:tblPr>
        <w:tblStyle w:val="Grilledutableau"/>
        <w:tblW w:w="0" w:type="auto"/>
        <w:tblBorders>
          <w:left w:val="none" w:sz="0" w:space="0" w:color="auto"/>
          <w:right w:val="none" w:sz="0" w:space="0" w:color="auto"/>
        </w:tblBorders>
        <w:tblLayout w:type="fixed"/>
        <w:tblLook w:val="04A0" w:firstRow="1" w:lastRow="0" w:firstColumn="1" w:lastColumn="0" w:noHBand="0" w:noVBand="1"/>
      </w:tblPr>
      <w:tblGrid>
        <w:gridCol w:w="1416"/>
        <w:gridCol w:w="1310"/>
        <w:gridCol w:w="1140"/>
        <w:gridCol w:w="1145"/>
      </w:tblGrid>
      <w:tr w:rsidR="00913197">
        <w:trPr>
          <w:trHeight w:val="425"/>
        </w:trPr>
        <w:tc>
          <w:tcPr>
            <w:tcW w:w="1416" w:type="dxa"/>
            <w:tcBorders>
              <w:right w:val="nil"/>
            </w:tcBorders>
          </w:tcPr>
          <w:p w:rsidR="00913197" w:rsidRDefault="000341BF">
            <w:pPr>
              <w:spacing w:line="240" w:lineRule="auto"/>
              <w:rPr>
                <w:rFonts w:ascii="Times New Roman" w:hAnsi="Times New Roman" w:cs="Times New Roman"/>
                <w:b/>
                <w:bCs/>
                <w:lang w:eastAsia="fr-FR"/>
              </w:rPr>
            </w:pPr>
            <w:r>
              <w:rPr>
                <w:rFonts w:ascii="Times New Roman" w:hAnsi="Times New Roman" w:cs="Times New Roman"/>
                <w:b/>
                <w:bCs/>
                <w:lang w:eastAsia="fr-FR"/>
              </w:rPr>
              <w:t xml:space="preserve">Facteurs </w:t>
            </w:r>
          </w:p>
        </w:tc>
        <w:tc>
          <w:tcPr>
            <w:tcW w:w="1310" w:type="dxa"/>
            <w:tcBorders>
              <w:left w:val="nil"/>
              <w:right w:val="nil"/>
            </w:tcBorders>
          </w:tcPr>
          <w:p w:rsidR="00913197" w:rsidRDefault="000341BF">
            <w:pPr>
              <w:spacing w:line="240" w:lineRule="auto"/>
              <w:ind w:firstLine="0"/>
              <w:rPr>
                <w:rFonts w:ascii="Times New Roman" w:hAnsi="Times New Roman" w:cs="Times New Roman"/>
                <w:b/>
                <w:bCs/>
                <w:lang w:eastAsia="fr-FR"/>
              </w:rPr>
            </w:pPr>
            <w:r>
              <w:rPr>
                <w:rFonts w:ascii="Times New Roman" w:hAnsi="Times New Roman" w:cs="Times New Roman"/>
                <w:b/>
                <w:bCs/>
                <w:lang w:eastAsia="fr-FR"/>
              </w:rPr>
              <w:t>Vivants (n=11)</w:t>
            </w:r>
          </w:p>
        </w:tc>
        <w:tc>
          <w:tcPr>
            <w:tcW w:w="1140" w:type="dxa"/>
            <w:tcBorders>
              <w:left w:val="nil"/>
              <w:right w:val="nil"/>
            </w:tcBorders>
          </w:tcPr>
          <w:p w:rsidR="00913197" w:rsidRDefault="000341BF">
            <w:pPr>
              <w:spacing w:line="240" w:lineRule="auto"/>
              <w:ind w:firstLine="0"/>
              <w:rPr>
                <w:rFonts w:ascii="Times New Roman" w:hAnsi="Times New Roman" w:cs="Times New Roman"/>
                <w:b/>
                <w:bCs/>
                <w:lang w:eastAsia="fr-FR"/>
              </w:rPr>
            </w:pPr>
            <w:r>
              <w:rPr>
                <w:rFonts w:ascii="Times New Roman" w:hAnsi="Times New Roman" w:cs="Times New Roman"/>
                <w:b/>
                <w:bCs/>
                <w:lang w:eastAsia="fr-FR"/>
              </w:rPr>
              <w:t>Décès (n=14)</w:t>
            </w:r>
          </w:p>
        </w:tc>
        <w:tc>
          <w:tcPr>
            <w:tcW w:w="1145" w:type="dxa"/>
            <w:tcBorders>
              <w:left w:val="nil"/>
            </w:tcBorders>
          </w:tcPr>
          <w:p w:rsidR="00913197" w:rsidRDefault="000341BF">
            <w:pPr>
              <w:spacing w:line="240" w:lineRule="auto"/>
              <w:ind w:firstLine="0"/>
              <w:rPr>
                <w:rFonts w:ascii="Times New Roman" w:hAnsi="Times New Roman" w:cs="Times New Roman"/>
                <w:b/>
                <w:bCs/>
                <w:lang w:eastAsia="fr-FR"/>
              </w:rPr>
            </w:pPr>
            <w:r>
              <w:rPr>
                <w:rFonts w:ascii="Times New Roman" w:hAnsi="Times New Roman" w:cs="Times New Roman"/>
                <w:b/>
                <w:bCs/>
                <w:lang w:eastAsia="fr-FR"/>
              </w:rPr>
              <w:t>p-value</w:t>
            </w:r>
          </w:p>
        </w:tc>
      </w:tr>
      <w:tr w:rsidR="00913197">
        <w:trPr>
          <w:trHeight w:val="841"/>
        </w:trPr>
        <w:tc>
          <w:tcPr>
            <w:tcW w:w="1416" w:type="dxa"/>
            <w:tcBorders>
              <w:bottom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 xml:space="preserve">Score </w:t>
            </w:r>
            <w:r>
              <w:rPr>
                <w:rFonts w:ascii="Times New Roman" w:hAnsi="Times New Roman" w:cs="Times New Roman"/>
                <w:lang w:val="en-US" w:eastAsia="fr-FR"/>
              </w:rPr>
              <w:t>d</w:t>
            </w:r>
            <w:r>
              <w:rPr>
                <w:rFonts w:ascii="Times New Roman" w:hAnsi="Times New Roman" w:cs="Times New Roman"/>
                <w:lang w:eastAsia="fr-FR"/>
              </w:rPr>
              <w:t xml:space="preserve">e Glasgow </w:t>
            </w:r>
            <w:r>
              <w:rPr>
                <w:rStyle w:val="lev"/>
                <w:rFonts w:ascii="Times New Roman" w:eastAsia="Segoe UI" w:hAnsi="Times New Roman" w:cs="Times New Roman"/>
                <w:b w:val="0"/>
                <w:bCs w:val="0"/>
              </w:rPr>
              <w:t>médian [IQR]</w:t>
            </w:r>
          </w:p>
        </w:tc>
        <w:tc>
          <w:tcPr>
            <w:tcW w:w="1310" w:type="dxa"/>
            <w:tcBorders>
              <w:left w:val="nil"/>
              <w:bottom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rPr>
              <w:t>10 [8,5 - 11]</w:t>
            </w:r>
          </w:p>
        </w:tc>
        <w:tc>
          <w:tcPr>
            <w:tcW w:w="1140" w:type="dxa"/>
            <w:tcBorders>
              <w:left w:val="nil"/>
              <w:bottom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rPr>
              <w:t>7 [6 - 8]</w:t>
            </w:r>
          </w:p>
        </w:tc>
        <w:tc>
          <w:tcPr>
            <w:tcW w:w="1145" w:type="dxa"/>
            <w:tcBorders>
              <w:left w:val="nil"/>
              <w:bottom w:val="nil"/>
            </w:tcBorders>
          </w:tcPr>
          <w:p w:rsidR="00913197" w:rsidRDefault="000341BF">
            <w:pPr>
              <w:spacing w:line="240" w:lineRule="auto"/>
              <w:ind w:firstLine="0"/>
              <w:rPr>
                <w:rFonts w:ascii="Times New Roman" w:hAnsi="Times New Roman" w:cs="Times New Roman"/>
                <w:b/>
                <w:bCs/>
                <w:lang w:eastAsia="fr-FR"/>
              </w:rPr>
            </w:pPr>
            <w:r>
              <w:rPr>
                <w:rFonts w:ascii="Times New Roman" w:hAnsi="Times New Roman" w:cs="Times New Roman"/>
                <w:b/>
                <w:bCs/>
              </w:rPr>
              <w:t>0,0047</w:t>
            </w:r>
          </w:p>
        </w:tc>
      </w:tr>
      <w:tr w:rsidR="00913197">
        <w:trPr>
          <w:trHeight w:val="416"/>
        </w:trPr>
        <w:tc>
          <w:tcPr>
            <w:tcW w:w="1416" w:type="dxa"/>
            <w:tcBorders>
              <w:top w:val="nil"/>
              <w:bottom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Anomalie pupillaire</w:t>
            </w:r>
          </w:p>
        </w:tc>
        <w:tc>
          <w:tcPr>
            <w:tcW w:w="1310" w:type="dxa"/>
            <w:tcBorders>
              <w:top w:val="nil"/>
              <w:left w:val="nil"/>
              <w:bottom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2 (8%)</w:t>
            </w:r>
          </w:p>
        </w:tc>
        <w:tc>
          <w:tcPr>
            <w:tcW w:w="1140" w:type="dxa"/>
            <w:tcBorders>
              <w:top w:val="nil"/>
              <w:left w:val="nil"/>
              <w:bottom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10 (40%)</w:t>
            </w:r>
          </w:p>
        </w:tc>
        <w:tc>
          <w:tcPr>
            <w:tcW w:w="1145" w:type="dxa"/>
            <w:tcBorders>
              <w:top w:val="nil"/>
              <w:left w:val="nil"/>
              <w:bottom w:val="nil"/>
            </w:tcBorders>
          </w:tcPr>
          <w:p w:rsidR="00913197" w:rsidRDefault="000341BF">
            <w:pPr>
              <w:spacing w:line="240" w:lineRule="auto"/>
              <w:ind w:firstLine="0"/>
              <w:rPr>
                <w:rFonts w:ascii="Times New Roman" w:hAnsi="Times New Roman" w:cs="Times New Roman"/>
                <w:b/>
                <w:bCs/>
                <w:lang w:eastAsia="fr-FR"/>
              </w:rPr>
            </w:pPr>
            <w:r>
              <w:rPr>
                <w:rFonts w:ascii="Times New Roman" w:hAnsi="Times New Roman" w:cs="Times New Roman"/>
                <w:b/>
                <w:bCs/>
              </w:rPr>
              <w:t>0,0052</w:t>
            </w:r>
          </w:p>
        </w:tc>
      </w:tr>
      <w:tr w:rsidR="00913197">
        <w:trPr>
          <w:trHeight w:val="416"/>
        </w:trPr>
        <w:tc>
          <w:tcPr>
            <w:tcW w:w="1416" w:type="dxa"/>
            <w:tcBorders>
              <w:top w:val="nil"/>
              <w:bottom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 xml:space="preserve">Recours à l’intubation </w:t>
            </w:r>
          </w:p>
        </w:tc>
        <w:tc>
          <w:tcPr>
            <w:tcW w:w="1310" w:type="dxa"/>
            <w:tcBorders>
              <w:top w:val="nil"/>
              <w:left w:val="nil"/>
              <w:bottom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7 (28%)</w:t>
            </w:r>
          </w:p>
        </w:tc>
        <w:tc>
          <w:tcPr>
            <w:tcW w:w="1140" w:type="dxa"/>
            <w:tcBorders>
              <w:top w:val="nil"/>
              <w:left w:val="nil"/>
              <w:bottom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14 (56%)</w:t>
            </w:r>
          </w:p>
        </w:tc>
        <w:tc>
          <w:tcPr>
            <w:tcW w:w="1145" w:type="dxa"/>
            <w:tcBorders>
              <w:top w:val="nil"/>
              <w:left w:val="nil"/>
              <w:bottom w:val="nil"/>
            </w:tcBorders>
          </w:tcPr>
          <w:p w:rsidR="00913197" w:rsidRDefault="000341BF">
            <w:pPr>
              <w:spacing w:line="240" w:lineRule="auto"/>
              <w:ind w:firstLine="0"/>
              <w:rPr>
                <w:rFonts w:ascii="Times New Roman" w:hAnsi="Times New Roman" w:cs="Times New Roman"/>
                <w:b/>
                <w:bCs/>
                <w:lang w:eastAsia="fr-FR"/>
              </w:rPr>
            </w:pPr>
            <w:r>
              <w:rPr>
                <w:rFonts w:ascii="Times New Roman" w:hAnsi="Times New Roman" w:cs="Times New Roman"/>
                <w:b/>
                <w:bCs/>
              </w:rPr>
              <w:t>0,012</w:t>
            </w:r>
          </w:p>
        </w:tc>
      </w:tr>
      <w:tr w:rsidR="00913197">
        <w:trPr>
          <w:trHeight w:val="416"/>
        </w:trPr>
        <w:tc>
          <w:tcPr>
            <w:tcW w:w="1416" w:type="dxa"/>
            <w:tcBorders>
              <w:top w:val="nil"/>
              <w:bottom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Aggravation neurologique</w:t>
            </w:r>
          </w:p>
        </w:tc>
        <w:tc>
          <w:tcPr>
            <w:tcW w:w="1310" w:type="dxa"/>
            <w:tcBorders>
              <w:top w:val="nil"/>
              <w:left w:val="nil"/>
              <w:bottom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1 (4%)</w:t>
            </w:r>
          </w:p>
        </w:tc>
        <w:tc>
          <w:tcPr>
            <w:tcW w:w="1140" w:type="dxa"/>
            <w:tcBorders>
              <w:top w:val="nil"/>
              <w:left w:val="nil"/>
              <w:bottom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13 (52%)</w:t>
            </w:r>
          </w:p>
        </w:tc>
        <w:tc>
          <w:tcPr>
            <w:tcW w:w="1145" w:type="dxa"/>
            <w:tcBorders>
              <w:top w:val="nil"/>
              <w:left w:val="nil"/>
              <w:bottom w:val="nil"/>
            </w:tcBorders>
          </w:tcPr>
          <w:p w:rsidR="00913197" w:rsidRDefault="000341BF">
            <w:pPr>
              <w:spacing w:line="240" w:lineRule="auto"/>
              <w:ind w:firstLine="0"/>
              <w:rPr>
                <w:rFonts w:ascii="Times New Roman" w:hAnsi="Times New Roman" w:cs="Times New Roman"/>
                <w:b/>
                <w:bCs/>
                <w:lang w:eastAsia="fr-FR"/>
              </w:rPr>
            </w:pPr>
            <w:r>
              <w:rPr>
                <w:rFonts w:ascii="Times New Roman" w:hAnsi="Times New Roman" w:cs="Times New Roman"/>
                <w:b/>
                <w:bCs/>
                <w:lang w:eastAsia="fr-FR"/>
              </w:rPr>
              <w:t>0,000005</w:t>
            </w:r>
          </w:p>
        </w:tc>
      </w:tr>
      <w:tr w:rsidR="00913197">
        <w:trPr>
          <w:trHeight w:val="425"/>
        </w:trPr>
        <w:tc>
          <w:tcPr>
            <w:tcW w:w="1416" w:type="dxa"/>
            <w:tcBorders>
              <w:top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Engagement cérébral</w:t>
            </w:r>
          </w:p>
        </w:tc>
        <w:tc>
          <w:tcPr>
            <w:tcW w:w="1310" w:type="dxa"/>
            <w:tcBorders>
              <w:top w:val="nil"/>
              <w:left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0 (0)</w:t>
            </w:r>
          </w:p>
        </w:tc>
        <w:tc>
          <w:tcPr>
            <w:tcW w:w="1140" w:type="dxa"/>
            <w:tcBorders>
              <w:top w:val="nil"/>
              <w:left w:val="nil"/>
              <w:right w:val="nil"/>
            </w:tcBorders>
          </w:tcPr>
          <w:p w:rsidR="00913197" w:rsidRDefault="000341BF">
            <w:pPr>
              <w:spacing w:line="240" w:lineRule="auto"/>
              <w:ind w:firstLine="0"/>
              <w:rPr>
                <w:rFonts w:ascii="Times New Roman" w:hAnsi="Times New Roman" w:cs="Times New Roman"/>
                <w:lang w:eastAsia="fr-FR"/>
              </w:rPr>
            </w:pPr>
            <w:r>
              <w:rPr>
                <w:rFonts w:ascii="Times New Roman" w:hAnsi="Times New Roman" w:cs="Times New Roman"/>
                <w:lang w:eastAsia="fr-FR"/>
              </w:rPr>
              <w:t>5 (20%)</w:t>
            </w:r>
          </w:p>
        </w:tc>
        <w:tc>
          <w:tcPr>
            <w:tcW w:w="1145" w:type="dxa"/>
            <w:tcBorders>
              <w:top w:val="nil"/>
              <w:left w:val="nil"/>
            </w:tcBorders>
          </w:tcPr>
          <w:p w:rsidR="00913197" w:rsidRDefault="000341BF">
            <w:pPr>
              <w:spacing w:line="240" w:lineRule="auto"/>
              <w:ind w:firstLine="0"/>
              <w:rPr>
                <w:rFonts w:ascii="Times New Roman" w:hAnsi="Times New Roman" w:cs="Times New Roman"/>
                <w:b/>
                <w:bCs/>
                <w:lang w:eastAsia="fr-FR"/>
              </w:rPr>
            </w:pPr>
            <w:r>
              <w:rPr>
                <w:rFonts w:ascii="Times New Roman" w:hAnsi="Times New Roman" w:cs="Times New Roman"/>
                <w:b/>
                <w:bCs/>
              </w:rPr>
              <w:t>0,0424</w:t>
            </w:r>
          </w:p>
        </w:tc>
      </w:tr>
    </w:tbl>
    <w:p w:rsidR="00913197" w:rsidRDefault="000341BF">
      <w:pPr>
        <w:spacing w:after="0" w:line="240" w:lineRule="auto"/>
        <w:jc w:val="both"/>
        <w:rPr>
          <w:rFonts w:ascii="Times New Roman" w:eastAsia="Segoe UI" w:hAnsi="Times New Roman" w:cs="Times New Roman"/>
          <w:shd w:val="clear" w:color="auto" w:fill="FFFFFF"/>
        </w:rPr>
      </w:pPr>
      <w:r>
        <w:rPr>
          <w:rStyle w:val="lev"/>
          <w:rFonts w:ascii="Times New Roman" w:eastAsia="Segoe UI" w:hAnsi="Times New Roman" w:cs="Times New Roman"/>
          <w:shd w:val="clear" w:color="auto" w:fill="FFFFFF"/>
        </w:rPr>
        <w:t>Chez l’adulte :</w:t>
      </w:r>
      <w:r>
        <w:rPr>
          <w:rFonts w:ascii="Times New Roman" w:eastAsia="Segoe UI" w:hAnsi="Times New Roman" w:cs="Times New Roman"/>
          <w:shd w:val="clear" w:color="auto" w:fill="FFFFFF"/>
        </w:rPr>
        <w:t> Un score de Glasgow pré- et postopératoire bas (p&lt;0,001), la présence d’anomalies pupillaires pré- (p=0,019) et postopératoires (p&lt;0,001), le tabagisme (p=0,026), une hyperthermie postopératoire (p=0,010), la nécessité d’une intubation (p&lt;0,001) ou d’une ventilation invasive (p&lt;0,001), l’utilisation d’osmothérapie (p=0,005), une aggravation neurologique (p&lt;0,001) et un engagement cérébral (p&lt;0,001) (Tableau IV).</w:t>
      </w:r>
    </w:p>
    <w:p w:rsidR="00913197" w:rsidRDefault="00913197">
      <w:pPr>
        <w:spacing w:after="0" w:line="240" w:lineRule="auto"/>
        <w:jc w:val="both"/>
        <w:rPr>
          <w:rFonts w:ascii="Times New Roman" w:eastAsia="Segoe UI" w:hAnsi="Times New Roman" w:cs="Times New Roman"/>
          <w:shd w:val="clear" w:color="auto" w:fill="FFFFFF"/>
        </w:rPr>
      </w:pPr>
    </w:p>
    <w:p w:rsidR="00913197" w:rsidRDefault="000341BF">
      <w:pPr>
        <w:pStyle w:val="NormalWeb"/>
        <w:jc w:val="both"/>
        <w:rPr>
          <w:rFonts w:eastAsia="Segoe UI"/>
          <w:sz w:val="22"/>
          <w:szCs w:val="22"/>
          <w:shd w:val="clear" w:color="auto" w:fill="FFFFFF"/>
        </w:rPr>
      </w:pPr>
      <w:r>
        <w:rPr>
          <w:rFonts w:eastAsia="Segoe UI"/>
          <w:b/>
          <w:bCs/>
          <w:sz w:val="22"/>
          <w:szCs w:val="22"/>
          <w:shd w:val="clear" w:color="auto" w:fill="FFFFFF"/>
        </w:rPr>
        <w:t>Tableau IV : Facteurs associés à la mortalité chez l’adulte</w:t>
      </w:r>
    </w:p>
    <w:tbl>
      <w:tblPr>
        <w:tblW w:w="5458" w:type="dxa"/>
        <w:shd w:val="clear" w:color="auto" w:fill="FFFFFF"/>
        <w:tblCellMar>
          <w:top w:w="15" w:type="dxa"/>
          <w:left w:w="15" w:type="dxa"/>
          <w:bottom w:w="15" w:type="dxa"/>
          <w:right w:w="15" w:type="dxa"/>
        </w:tblCellMar>
        <w:tblLook w:val="04A0" w:firstRow="1" w:lastRow="0" w:firstColumn="1" w:lastColumn="0" w:noHBand="0" w:noVBand="1"/>
      </w:tblPr>
      <w:tblGrid>
        <w:gridCol w:w="1938"/>
        <w:gridCol w:w="1345"/>
        <w:gridCol w:w="1234"/>
        <w:gridCol w:w="941"/>
      </w:tblGrid>
      <w:tr w:rsidR="00913197">
        <w:trPr>
          <w:trHeight w:val="648"/>
          <w:tblHeader/>
        </w:trPr>
        <w:tc>
          <w:tcPr>
            <w:tcW w:w="1938" w:type="dxa"/>
            <w:tcBorders>
              <w:top w:val="single" w:sz="4" w:space="0" w:color="auto"/>
              <w:bottom w:val="single" w:sz="4" w:space="0" w:color="auto"/>
            </w:tcBorders>
            <w:shd w:val="clear" w:color="auto" w:fill="FFFFFF"/>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color w:val="0F1115"/>
              </w:rPr>
            </w:pPr>
            <w:r>
              <w:rPr>
                <w:rFonts w:ascii="Times New Roman" w:eastAsia="Segoe UI" w:hAnsi="Times New Roman" w:cs="Times New Roman"/>
                <w:b/>
                <w:bCs/>
                <w:color w:val="0F1115"/>
              </w:rPr>
              <w:t xml:space="preserve">Facteurs </w:t>
            </w:r>
          </w:p>
        </w:tc>
        <w:tc>
          <w:tcPr>
            <w:tcW w:w="1345" w:type="dxa"/>
            <w:tcBorders>
              <w:top w:val="single" w:sz="4" w:space="0" w:color="auto"/>
              <w:bottom w:val="single" w:sz="4" w:space="0" w:color="auto"/>
            </w:tcBorders>
            <w:shd w:val="clear" w:color="auto" w:fill="FFFFFF"/>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b/>
                <w:bCs/>
                <w:color w:val="0F1115"/>
              </w:rPr>
            </w:pPr>
            <w:r>
              <w:rPr>
                <w:rFonts w:ascii="Times New Roman" w:eastAsia="Segoe UI" w:hAnsi="Times New Roman" w:cs="Times New Roman"/>
                <w:b/>
                <w:bCs/>
                <w:color w:val="0F1115"/>
              </w:rPr>
              <w:t>Vivants (n=39)</w:t>
            </w:r>
          </w:p>
        </w:tc>
        <w:tc>
          <w:tcPr>
            <w:tcW w:w="1234" w:type="dxa"/>
            <w:tcBorders>
              <w:top w:val="single" w:sz="4" w:space="0" w:color="auto"/>
              <w:bottom w:val="single" w:sz="4" w:space="0" w:color="auto"/>
            </w:tcBorders>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b/>
                <w:bCs/>
                <w:color w:val="0F1115"/>
              </w:rPr>
            </w:pPr>
            <w:r>
              <w:rPr>
                <w:rFonts w:ascii="Times New Roman" w:eastAsia="Segoe UI" w:hAnsi="Times New Roman" w:cs="Times New Roman"/>
                <w:b/>
                <w:bCs/>
                <w:color w:val="0F1115"/>
              </w:rPr>
              <w:t>Décédés (n=44)</w:t>
            </w:r>
          </w:p>
        </w:tc>
        <w:tc>
          <w:tcPr>
            <w:tcW w:w="941" w:type="dxa"/>
            <w:tcBorders>
              <w:top w:val="single" w:sz="4" w:space="0" w:color="auto"/>
              <w:bottom w:val="single" w:sz="4" w:space="0" w:color="auto"/>
            </w:tcBorders>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b/>
                <w:bCs/>
                <w:color w:val="0F1115"/>
              </w:rPr>
            </w:pPr>
            <w:r>
              <w:rPr>
                <w:rFonts w:ascii="Times New Roman" w:eastAsia="Segoe UI" w:hAnsi="Times New Roman" w:cs="Times New Roman"/>
                <w:b/>
                <w:bCs/>
                <w:color w:val="0F1115"/>
              </w:rPr>
              <w:t>p-value</w:t>
            </w:r>
          </w:p>
        </w:tc>
      </w:tr>
      <w:tr w:rsidR="00913197">
        <w:trPr>
          <w:trHeight w:val="665"/>
        </w:trPr>
        <w:tc>
          <w:tcPr>
            <w:tcW w:w="1938" w:type="dxa"/>
            <w:tcBorders>
              <w:top w:val="single" w:sz="4" w:space="0" w:color="auto"/>
            </w:tcBorders>
            <w:shd w:val="clear" w:color="auto" w:fill="FFFFFF"/>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Style w:val="lev"/>
                <w:rFonts w:ascii="Times New Roman" w:eastAsia="Segoe UI" w:hAnsi="Times New Roman" w:cs="Times New Roman"/>
                <w:b w:val="0"/>
                <w:bCs w:val="0"/>
                <w:color w:val="0F1115"/>
              </w:rPr>
              <w:t>Tabagisme</w:t>
            </w:r>
          </w:p>
        </w:tc>
        <w:tc>
          <w:tcPr>
            <w:tcW w:w="1345" w:type="dxa"/>
            <w:tcBorders>
              <w:top w:val="single" w:sz="4" w:space="0" w:color="auto"/>
            </w:tcBorders>
            <w:shd w:val="clear" w:color="auto" w:fill="FFFFFF"/>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2 (2,4%)</w:t>
            </w:r>
          </w:p>
        </w:tc>
        <w:tc>
          <w:tcPr>
            <w:tcW w:w="1234" w:type="dxa"/>
            <w:tcBorders>
              <w:top w:val="single" w:sz="4" w:space="0" w:color="auto"/>
            </w:tcBorders>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10 (12,1%)</w:t>
            </w:r>
          </w:p>
        </w:tc>
        <w:tc>
          <w:tcPr>
            <w:tcW w:w="941" w:type="dxa"/>
            <w:tcBorders>
              <w:top w:val="single" w:sz="4" w:space="0" w:color="auto"/>
            </w:tcBorders>
            <w:shd w:val="clear" w:color="auto" w:fill="FFFFFF"/>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0,03</w:t>
            </w:r>
          </w:p>
        </w:tc>
      </w:tr>
      <w:tr w:rsidR="00913197">
        <w:trPr>
          <w:trHeight w:val="1037"/>
        </w:trPr>
        <w:tc>
          <w:tcPr>
            <w:tcW w:w="1938" w:type="dxa"/>
            <w:shd w:val="clear" w:color="auto" w:fill="FFFFFF"/>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Style w:val="lev"/>
                <w:rFonts w:ascii="Times New Roman" w:eastAsia="Segoe UI" w:hAnsi="Times New Roman" w:cs="Times New Roman"/>
                <w:b w:val="0"/>
                <w:bCs w:val="0"/>
                <w:color w:val="0F1115"/>
              </w:rPr>
              <w:lastRenderedPageBreak/>
              <w:t>Score de Glasgow  médian pré-opératoire [IQR]</w:t>
            </w:r>
          </w:p>
        </w:tc>
        <w:tc>
          <w:tcPr>
            <w:tcW w:w="1345" w:type="dxa"/>
            <w:shd w:val="clear" w:color="auto" w:fill="FFFFFF"/>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10 [8 - 13]</w:t>
            </w:r>
          </w:p>
        </w:tc>
        <w:tc>
          <w:tcPr>
            <w:tcW w:w="1234" w:type="dxa"/>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7 [6 - 8]</w:t>
            </w:r>
          </w:p>
        </w:tc>
        <w:tc>
          <w:tcPr>
            <w:tcW w:w="941" w:type="dxa"/>
            <w:shd w:val="clear" w:color="auto" w:fill="FFFFFF"/>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0,0001</w:t>
            </w:r>
          </w:p>
        </w:tc>
      </w:tr>
      <w:tr w:rsidR="00913197">
        <w:trPr>
          <w:trHeight w:val="770"/>
        </w:trPr>
        <w:tc>
          <w:tcPr>
            <w:tcW w:w="1938" w:type="dxa"/>
            <w:shd w:val="clear" w:color="auto" w:fill="FFFFFF"/>
            <w:tcMar>
              <w:top w:w="100" w:type="dxa"/>
              <w:left w:w="0" w:type="dxa"/>
              <w:bottom w:w="100" w:type="dxa"/>
              <w:right w:w="160" w:type="dxa"/>
            </w:tcMar>
            <w:vAlign w:val="center"/>
          </w:tcPr>
          <w:p w:rsidR="00913197" w:rsidRDefault="000341BF">
            <w:pPr>
              <w:spacing w:after="0" w:line="240" w:lineRule="auto"/>
              <w:jc w:val="both"/>
              <w:rPr>
                <w:rStyle w:val="lev"/>
                <w:rFonts w:ascii="Times New Roman" w:eastAsia="Segoe UI" w:hAnsi="Times New Roman" w:cs="Times New Roman"/>
                <w:b w:val="0"/>
                <w:bCs w:val="0"/>
                <w:color w:val="0F1115"/>
              </w:rPr>
            </w:pPr>
            <w:r>
              <w:rPr>
                <w:rStyle w:val="lev"/>
                <w:rFonts w:ascii="Times New Roman" w:eastAsia="Segoe UI" w:hAnsi="Times New Roman" w:cs="Times New Roman"/>
                <w:b w:val="0"/>
                <w:bCs w:val="0"/>
                <w:color w:val="0F1115"/>
              </w:rPr>
              <w:t>Score de Glasgow  médian post-opératoire [IQR]</w:t>
            </w:r>
          </w:p>
        </w:tc>
        <w:tc>
          <w:tcPr>
            <w:tcW w:w="1345" w:type="dxa"/>
            <w:shd w:val="clear" w:color="auto" w:fill="FFFFFF"/>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11 [9 - 13]</w:t>
            </w:r>
          </w:p>
        </w:tc>
        <w:tc>
          <w:tcPr>
            <w:tcW w:w="1234" w:type="dxa"/>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7 [5 - 8]</w:t>
            </w:r>
          </w:p>
        </w:tc>
        <w:tc>
          <w:tcPr>
            <w:tcW w:w="941" w:type="dxa"/>
            <w:shd w:val="clear" w:color="auto" w:fill="FFFFFF"/>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0,0001</w:t>
            </w:r>
          </w:p>
        </w:tc>
      </w:tr>
      <w:tr w:rsidR="00913197">
        <w:trPr>
          <w:trHeight w:val="1037"/>
        </w:trPr>
        <w:tc>
          <w:tcPr>
            <w:tcW w:w="1938" w:type="dxa"/>
            <w:shd w:val="clear" w:color="auto" w:fill="FFFFFF"/>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Style w:val="lev"/>
                <w:rFonts w:ascii="Times New Roman" w:eastAsia="Segoe UI" w:hAnsi="Times New Roman" w:cs="Times New Roman"/>
                <w:b w:val="0"/>
                <w:bCs w:val="0"/>
                <w:color w:val="0F1115"/>
              </w:rPr>
              <w:t>Température médiane (°C) [IQR]</w:t>
            </w:r>
          </w:p>
        </w:tc>
        <w:tc>
          <w:tcPr>
            <w:tcW w:w="1345" w:type="dxa"/>
            <w:shd w:val="clear" w:color="auto" w:fill="FFFFFF"/>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36,7 [36,0 - 37,1]</w:t>
            </w:r>
          </w:p>
        </w:tc>
        <w:tc>
          <w:tcPr>
            <w:tcW w:w="1234" w:type="dxa"/>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37,2 [36,6 - 37,7]</w:t>
            </w:r>
          </w:p>
        </w:tc>
        <w:tc>
          <w:tcPr>
            <w:tcW w:w="941" w:type="dxa"/>
            <w:shd w:val="clear" w:color="auto" w:fill="FFFFFF"/>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0,0054</w:t>
            </w:r>
          </w:p>
        </w:tc>
      </w:tr>
      <w:tr w:rsidR="00913197">
        <w:trPr>
          <w:trHeight w:val="737"/>
        </w:trPr>
        <w:tc>
          <w:tcPr>
            <w:tcW w:w="1938" w:type="dxa"/>
            <w:shd w:val="clear" w:color="auto" w:fill="FFFFFF"/>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Style w:val="lev"/>
                <w:rFonts w:ascii="Times New Roman" w:eastAsia="Segoe UI" w:hAnsi="Times New Roman" w:cs="Times New Roman"/>
                <w:b w:val="0"/>
                <w:bCs w:val="0"/>
                <w:color w:val="0F1115"/>
              </w:rPr>
              <w:t>Anomalies pupillaires pré-opératoire</w:t>
            </w:r>
          </w:p>
        </w:tc>
        <w:tc>
          <w:tcPr>
            <w:tcW w:w="1345" w:type="dxa"/>
            <w:shd w:val="clear" w:color="auto" w:fill="FFFFFF"/>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7 (8,4%)</w:t>
            </w:r>
          </w:p>
        </w:tc>
        <w:tc>
          <w:tcPr>
            <w:tcW w:w="1234" w:type="dxa"/>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20 (22,1%)</w:t>
            </w:r>
          </w:p>
        </w:tc>
        <w:tc>
          <w:tcPr>
            <w:tcW w:w="941" w:type="dxa"/>
            <w:shd w:val="clear" w:color="auto" w:fill="FFFFFF"/>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0,019</w:t>
            </w:r>
          </w:p>
        </w:tc>
      </w:tr>
      <w:tr w:rsidR="00913197">
        <w:trPr>
          <w:trHeight w:val="903"/>
        </w:trPr>
        <w:tc>
          <w:tcPr>
            <w:tcW w:w="1938" w:type="dxa"/>
            <w:shd w:val="clear" w:color="auto" w:fill="FFFFFF"/>
            <w:tcMar>
              <w:top w:w="100" w:type="dxa"/>
              <w:left w:w="0" w:type="dxa"/>
              <w:bottom w:w="100" w:type="dxa"/>
              <w:right w:w="160" w:type="dxa"/>
            </w:tcMar>
            <w:vAlign w:val="center"/>
          </w:tcPr>
          <w:p w:rsidR="00913197" w:rsidRDefault="000341BF">
            <w:pPr>
              <w:spacing w:after="0" w:line="240" w:lineRule="auto"/>
              <w:jc w:val="both"/>
              <w:rPr>
                <w:rStyle w:val="lev"/>
                <w:rFonts w:ascii="Times New Roman" w:eastAsia="Segoe UI" w:hAnsi="Times New Roman" w:cs="Times New Roman"/>
                <w:b w:val="0"/>
                <w:bCs w:val="0"/>
                <w:color w:val="0F1115"/>
              </w:rPr>
            </w:pPr>
            <w:r>
              <w:rPr>
                <w:rStyle w:val="lev"/>
                <w:rFonts w:ascii="Times New Roman" w:eastAsia="Segoe UI" w:hAnsi="Times New Roman" w:cs="Times New Roman"/>
                <w:b w:val="0"/>
                <w:bCs w:val="0"/>
                <w:color w:val="0F1115"/>
              </w:rPr>
              <w:t>Anomalies pupillaires post-opératoire</w:t>
            </w:r>
          </w:p>
        </w:tc>
        <w:tc>
          <w:tcPr>
            <w:tcW w:w="1345" w:type="dxa"/>
            <w:shd w:val="clear" w:color="auto" w:fill="FFFFFF"/>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9 (10,8%)</w:t>
            </w:r>
          </w:p>
        </w:tc>
        <w:tc>
          <w:tcPr>
            <w:tcW w:w="1234" w:type="dxa"/>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30 (36,1%)</w:t>
            </w:r>
          </w:p>
        </w:tc>
        <w:tc>
          <w:tcPr>
            <w:tcW w:w="941" w:type="dxa"/>
            <w:shd w:val="clear" w:color="auto" w:fill="FFFFFF"/>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hAnsi="Times New Roman" w:cs="Times New Roman"/>
              </w:rPr>
              <w:t>0,00005</w:t>
            </w:r>
          </w:p>
        </w:tc>
      </w:tr>
      <w:tr w:rsidR="00913197">
        <w:trPr>
          <w:trHeight w:val="610"/>
        </w:trPr>
        <w:tc>
          <w:tcPr>
            <w:tcW w:w="1938" w:type="dxa"/>
            <w:shd w:val="clear" w:color="auto" w:fill="FFFFFF"/>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Style w:val="lev"/>
                <w:rFonts w:ascii="Times New Roman" w:eastAsia="Segoe UI" w:hAnsi="Times New Roman" w:cs="Times New Roman"/>
                <w:b w:val="0"/>
                <w:bCs w:val="0"/>
                <w:color w:val="0F1115"/>
              </w:rPr>
              <w:lastRenderedPageBreak/>
              <w:t>Intubation orotrachéale</w:t>
            </w:r>
          </w:p>
        </w:tc>
        <w:tc>
          <w:tcPr>
            <w:tcW w:w="1345" w:type="dxa"/>
            <w:shd w:val="clear" w:color="auto" w:fill="FFFFFF"/>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12 (14,5%)</w:t>
            </w:r>
          </w:p>
        </w:tc>
        <w:tc>
          <w:tcPr>
            <w:tcW w:w="1234" w:type="dxa"/>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39 (46,9%)</w:t>
            </w:r>
          </w:p>
        </w:tc>
        <w:tc>
          <w:tcPr>
            <w:tcW w:w="941" w:type="dxa"/>
            <w:shd w:val="clear" w:color="auto" w:fill="FFFFFF"/>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&lt; 0,00005</w:t>
            </w:r>
          </w:p>
        </w:tc>
      </w:tr>
      <w:tr w:rsidR="00913197">
        <w:trPr>
          <w:trHeight w:val="610"/>
        </w:trPr>
        <w:tc>
          <w:tcPr>
            <w:tcW w:w="1938" w:type="dxa"/>
            <w:shd w:val="clear" w:color="auto" w:fill="FFFFFF"/>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Style w:val="lev"/>
                <w:rFonts w:ascii="Times New Roman" w:eastAsia="Segoe UI" w:hAnsi="Times New Roman" w:cs="Times New Roman"/>
                <w:b w:val="0"/>
                <w:bCs w:val="0"/>
                <w:color w:val="0F1115"/>
              </w:rPr>
              <w:t>Ventilation mécanique</w:t>
            </w:r>
          </w:p>
        </w:tc>
        <w:tc>
          <w:tcPr>
            <w:tcW w:w="1345" w:type="dxa"/>
            <w:shd w:val="clear" w:color="auto" w:fill="FFFFFF"/>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13 (18%)</w:t>
            </w:r>
          </w:p>
        </w:tc>
        <w:tc>
          <w:tcPr>
            <w:tcW w:w="1234" w:type="dxa"/>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38 (45,8%)</w:t>
            </w:r>
          </w:p>
        </w:tc>
        <w:tc>
          <w:tcPr>
            <w:tcW w:w="941" w:type="dxa"/>
            <w:shd w:val="clear" w:color="auto" w:fill="FFFFFF"/>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&lt; 0,00005</w:t>
            </w:r>
          </w:p>
        </w:tc>
      </w:tr>
      <w:tr w:rsidR="00913197">
        <w:trPr>
          <w:trHeight w:val="610"/>
        </w:trPr>
        <w:tc>
          <w:tcPr>
            <w:tcW w:w="1938" w:type="dxa"/>
            <w:shd w:val="clear" w:color="auto" w:fill="FFFFFF"/>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Style w:val="lev"/>
                <w:rFonts w:ascii="Times New Roman" w:eastAsia="Segoe UI" w:hAnsi="Times New Roman" w:cs="Times New Roman"/>
                <w:b w:val="0"/>
                <w:bCs w:val="0"/>
                <w:color w:val="0F1115"/>
              </w:rPr>
              <w:t>Osmothérapie</w:t>
            </w:r>
          </w:p>
        </w:tc>
        <w:tc>
          <w:tcPr>
            <w:tcW w:w="1345" w:type="dxa"/>
            <w:shd w:val="clear" w:color="auto" w:fill="FFFFFF"/>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12 (17%)</w:t>
            </w:r>
          </w:p>
        </w:tc>
        <w:tc>
          <w:tcPr>
            <w:tcW w:w="1234" w:type="dxa"/>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29 (41%)</w:t>
            </w:r>
          </w:p>
        </w:tc>
        <w:tc>
          <w:tcPr>
            <w:tcW w:w="941" w:type="dxa"/>
            <w:shd w:val="clear" w:color="auto" w:fill="FFFFFF"/>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0,0017</w:t>
            </w:r>
          </w:p>
        </w:tc>
      </w:tr>
      <w:tr w:rsidR="00913197">
        <w:trPr>
          <w:trHeight w:val="610"/>
        </w:trPr>
        <w:tc>
          <w:tcPr>
            <w:tcW w:w="1938" w:type="dxa"/>
            <w:shd w:val="clear" w:color="auto" w:fill="FFFFFF"/>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Style w:val="lev"/>
                <w:rFonts w:ascii="Times New Roman" w:eastAsia="Segoe UI" w:hAnsi="Times New Roman" w:cs="Times New Roman"/>
                <w:b w:val="0"/>
                <w:bCs w:val="0"/>
                <w:color w:val="0F1115"/>
              </w:rPr>
              <w:t>Aggravation neurologique</w:t>
            </w:r>
          </w:p>
        </w:tc>
        <w:tc>
          <w:tcPr>
            <w:tcW w:w="1345" w:type="dxa"/>
            <w:shd w:val="clear" w:color="auto" w:fill="FFFFFF"/>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3 (3,6%)</w:t>
            </w:r>
          </w:p>
        </w:tc>
        <w:tc>
          <w:tcPr>
            <w:tcW w:w="1234" w:type="dxa"/>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33 (39,7%)</w:t>
            </w:r>
          </w:p>
        </w:tc>
        <w:tc>
          <w:tcPr>
            <w:tcW w:w="941" w:type="dxa"/>
            <w:shd w:val="clear" w:color="auto" w:fill="FFFFFF"/>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&lt; 0,00005</w:t>
            </w:r>
          </w:p>
        </w:tc>
      </w:tr>
      <w:tr w:rsidR="00913197">
        <w:trPr>
          <w:trHeight w:val="610"/>
        </w:trPr>
        <w:tc>
          <w:tcPr>
            <w:tcW w:w="1938" w:type="dxa"/>
            <w:tcBorders>
              <w:bottom w:val="single" w:sz="4" w:space="0" w:color="auto"/>
            </w:tcBorders>
            <w:shd w:val="clear" w:color="auto" w:fill="FFFFFF"/>
            <w:tcMar>
              <w:top w:w="100" w:type="dxa"/>
              <w:left w:w="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Style w:val="lev"/>
                <w:rFonts w:ascii="Times New Roman" w:eastAsia="Segoe UI" w:hAnsi="Times New Roman" w:cs="Times New Roman"/>
                <w:b w:val="0"/>
                <w:bCs w:val="0"/>
                <w:color w:val="0F1115"/>
              </w:rPr>
              <w:t>Engagement cérébral</w:t>
            </w:r>
          </w:p>
        </w:tc>
        <w:tc>
          <w:tcPr>
            <w:tcW w:w="1345" w:type="dxa"/>
            <w:tcBorders>
              <w:bottom w:val="single" w:sz="4" w:space="0" w:color="auto"/>
            </w:tcBorders>
            <w:shd w:val="clear" w:color="auto" w:fill="FFFFFF"/>
            <w:tcMar>
              <w:top w:w="100" w:type="dxa"/>
              <w:left w:w="160" w:type="dxa"/>
              <w:bottom w:w="100" w:type="dxa"/>
              <w:right w:w="16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3 (3,6%)</w:t>
            </w:r>
          </w:p>
        </w:tc>
        <w:tc>
          <w:tcPr>
            <w:tcW w:w="1234" w:type="dxa"/>
            <w:tcBorders>
              <w:bottom w:val="single" w:sz="4" w:space="0" w:color="auto"/>
            </w:tcBorders>
            <w:shd w:val="clear" w:color="auto" w:fill="FFFFFF"/>
            <w:tcMar>
              <w:top w:w="100" w:type="dxa"/>
              <w:left w:w="0" w:type="dxa"/>
              <w:bottom w:w="10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19 (22,9%)</w:t>
            </w:r>
          </w:p>
        </w:tc>
        <w:tc>
          <w:tcPr>
            <w:tcW w:w="941" w:type="dxa"/>
            <w:tcBorders>
              <w:bottom w:val="single" w:sz="4" w:space="0" w:color="auto"/>
            </w:tcBorders>
            <w:shd w:val="clear" w:color="auto" w:fill="FFFFFF"/>
            <w:tcMar>
              <w:top w:w="100" w:type="dxa"/>
              <w:left w:w="160" w:type="dxa"/>
              <w:bottom w:w="100" w:type="dxa"/>
              <w:right w:w="0" w:type="dxa"/>
            </w:tcMar>
            <w:vAlign w:val="center"/>
          </w:tcPr>
          <w:p w:rsidR="00913197" w:rsidRDefault="000341BF">
            <w:pPr>
              <w:spacing w:after="0" w:line="240" w:lineRule="auto"/>
              <w:jc w:val="both"/>
              <w:rPr>
                <w:rFonts w:ascii="Times New Roman" w:eastAsia="Segoe UI" w:hAnsi="Times New Roman" w:cs="Times New Roman"/>
                <w:color w:val="0F1115"/>
              </w:rPr>
            </w:pPr>
            <w:r>
              <w:rPr>
                <w:rFonts w:ascii="Times New Roman" w:eastAsia="Segoe UI" w:hAnsi="Times New Roman" w:cs="Times New Roman"/>
                <w:color w:val="0F1115"/>
              </w:rPr>
              <w:t>&lt; 0,00005</w:t>
            </w:r>
          </w:p>
        </w:tc>
      </w:tr>
    </w:tbl>
    <w:p w:rsidR="00913197" w:rsidRDefault="00913197">
      <w:pPr>
        <w:spacing w:after="0" w:line="240" w:lineRule="auto"/>
        <w:jc w:val="both"/>
        <w:rPr>
          <w:rFonts w:ascii="Times New Roman" w:eastAsia="Segoe UI" w:hAnsi="Times New Roman" w:cs="Times New Roman"/>
          <w:shd w:val="clear" w:color="auto" w:fill="FFFFFF"/>
        </w:rPr>
      </w:pPr>
    </w:p>
    <w:p w:rsidR="00913197" w:rsidRDefault="00913197">
      <w:pPr>
        <w:spacing w:after="0" w:line="240" w:lineRule="auto"/>
        <w:jc w:val="both"/>
        <w:rPr>
          <w:rFonts w:ascii="Times New Roman" w:hAnsi="Times New Roman" w:cs="Times New Roman"/>
        </w:rPr>
      </w:pPr>
    </w:p>
    <w:p w:rsidR="00913197" w:rsidRDefault="00913197">
      <w:pPr>
        <w:spacing w:after="0" w:line="240" w:lineRule="auto"/>
        <w:jc w:val="both"/>
        <w:rPr>
          <w:rFonts w:ascii="Times New Roman" w:hAnsi="Times New Roman" w:cs="Times New Roman"/>
        </w:rPr>
      </w:pPr>
    </w:p>
    <w:p w:rsidR="00913197" w:rsidRDefault="00913197">
      <w:pPr>
        <w:spacing w:after="0" w:line="240" w:lineRule="auto"/>
        <w:jc w:val="both"/>
        <w:rPr>
          <w:rFonts w:ascii="Times New Roman" w:hAnsi="Times New Roman" w:cs="Times New Roman"/>
          <w:b/>
          <w:color w:val="0000FF"/>
        </w:rPr>
        <w:sectPr w:rsidR="00913197">
          <w:type w:val="continuous"/>
          <w:pgSz w:w="11906" w:h="16838"/>
          <w:pgMar w:top="1417" w:right="1417" w:bottom="1417" w:left="1417" w:header="708" w:footer="708" w:gutter="0"/>
          <w:cols w:num="2" w:space="708"/>
          <w:docGrid w:linePitch="360"/>
        </w:sectPr>
      </w:pPr>
    </w:p>
    <w:p w:rsidR="00913197" w:rsidRDefault="00E82150">
      <w:pPr>
        <w:spacing w:after="0" w:line="240" w:lineRule="auto"/>
        <w:jc w:val="both"/>
        <w:rPr>
          <w:rFonts w:ascii="Times New Roman" w:hAnsi="Times New Roman" w:cs="Times New Roman"/>
          <w:b/>
          <w:color w:val="0000FF"/>
        </w:rPr>
      </w:pPr>
      <w:r>
        <w:rPr>
          <w:rFonts w:ascii="Times New Roman" w:hAnsi="Times New Roman" w:cs="Times New Roman"/>
          <w:b/>
          <w:color w:val="0000FF"/>
        </w:rPr>
        <w:lastRenderedPageBreak/>
        <w:pict>
          <v:shape id="_x0000_s1030" type="#_x0000_t32" style="position:absolute;left:0;text-align:left;margin-left:58.15pt;margin-top:9.15pt;width:398.4pt;height:0;z-index:251662336" o:connectortype="straight" strokecolor="blue" strokeweight="1.5pt"/>
        </w:pict>
      </w:r>
      <w:r w:rsidR="000341BF">
        <w:rPr>
          <w:rFonts w:ascii="Times New Roman" w:hAnsi="Times New Roman" w:cs="Times New Roman"/>
          <w:b/>
          <w:color w:val="0000FF"/>
        </w:rPr>
        <w:t xml:space="preserve">Discussion </w:t>
      </w:r>
    </w:p>
    <w:p w:rsidR="00913197" w:rsidRDefault="00913197">
      <w:pPr>
        <w:spacing w:after="0" w:line="240" w:lineRule="auto"/>
        <w:jc w:val="both"/>
        <w:rPr>
          <w:rFonts w:ascii="Times New Roman" w:hAnsi="Times New Roman" w:cs="Times New Roman"/>
        </w:rPr>
        <w:sectPr w:rsidR="00913197">
          <w:type w:val="continuous"/>
          <w:pgSz w:w="11906" w:h="16838"/>
          <w:pgMar w:top="1417" w:right="1417" w:bottom="1417" w:left="1417" w:header="708" w:footer="708" w:gutter="0"/>
          <w:cols w:space="708"/>
          <w:docGrid w:linePitch="360"/>
        </w:sectPr>
      </w:pPr>
    </w:p>
    <w:p w:rsidR="00913197" w:rsidRDefault="000341BF">
      <w:pPr>
        <w:pStyle w:val="NormalWeb"/>
        <w:shd w:val="clear" w:color="auto" w:fill="FFFFFF"/>
        <w:spacing w:before="160" w:after="160"/>
        <w:jc w:val="both"/>
        <w:rPr>
          <w:rFonts w:eastAsia="Segoe UI"/>
          <w:sz w:val="22"/>
          <w:szCs w:val="22"/>
        </w:rPr>
      </w:pPr>
      <w:r>
        <w:rPr>
          <w:rFonts w:eastAsia="Segoe UI"/>
          <w:sz w:val="22"/>
          <w:szCs w:val="22"/>
          <w:shd w:val="clear" w:color="auto" w:fill="FFFFFF"/>
        </w:rPr>
        <w:lastRenderedPageBreak/>
        <w:t>Cette étude a permis d’analyser les caractéristiques épidémiologiques, cliniques, thérapeutiques et évolutives de 108 patients ayant bénéficié d’une dérivation ventriculaire externe (DVE) dans le service de réanimation chirurgicale du Centre Hospitalier Universitaire Joseph Ravoahangy Andrianavalona à Madagascar.</w:t>
      </w:r>
    </w:p>
    <w:p w:rsidR="00913197" w:rsidRDefault="000341BF">
      <w:pPr>
        <w:pStyle w:val="NormalWeb"/>
        <w:numPr>
          <w:ilvl w:val="0"/>
          <w:numId w:val="4"/>
        </w:numPr>
        <w:shd w:val="clear" w:color="auto" w:fill="FFFFFF"/>
        <w:spacing w:before="160" w:after="160"/>
        <w:jc w:val="both"/>
        <w:rPr>
          <w:rStyle w:val="lev"/>
          <w:rFonts w:eastAsia="Segoe UI"/>
          <w:sz w:val="22"/>
          <w:szCs w:val="22"/>
          <w:shd w:val="clear" w:color="auto" w:fill="FFFFFF"/>
        </w:rPr>
      </w:pPr>
      <w:r>
        <w:rPr>
          <w:rStyle w:val="lev"/>
          <w:rFonts w:eastAsia="Segoe UI"/>
          <w:sz w:val="22"/>
          <w:szCs w:val="22"/>
          <w:shd w:val="clear" w:color="auto" w:fill="FFFFFF"/>
        </w:rPr>
        <w:t xml:space="preserve">Prévalence </w:t>
      </w:r>
    </w:p>
    <w:p w:rsidR="00913197" w:rsidRDefault="000341BF">
      <w:pPr>
        <w:pStyle w:val="NormalWeb"/>
        <w:shd w:val="clear" w:color="auto" w:fill="FFFFFF"/>
        <w:spacing w:before="160" w:after="160"/>
        <w:jc w:val="both"/>
        <w:rPr>
          <w:rFonts w:eastAsia="Segoe UI"/>
          <w:sz w:val="22"/>
          <w:szCs w:val="22"/>
        </w:rPr>
      </w:pPr>
      <w:r>
        <w:rPr>
          <w:rFonts w:eastAsia="Segoe UI"/>
          <w:sz w:val="22"/>
          <w:szCs w:val="22"/>
          <w:shd w:val="clear" w:color="auto" w:fill="FFFFFF"/>
        </w:rPr>
        <w:t>La prévalence de la DVE dans cette série était de 21,22%. Cette proportion est plus élevée que celle rapportée par Djoumoi F (8) (9,52%) dans une étude centrée sur les hémorragies sous-arachnoïdiennes (HSA). Cette différence s’explique par le recrutement plus large, incluant diverses étiologies d’hypertension intracrânienne (HTIC). Ces résultats sont également supérieurs aux prévalences d’hydrocéphalie rapportées par Samidine SN (5) (2% chez l’adulte) et Rahendrimanana DDJ (4) (2% chez l’enfant, avec 18,1% de DVE parmi eux). Ces écarts soulignent la nécessité de protocoles de recherche standardisés pour des comparaisons inter-études pertinentes.</w:t>
      </w:r>
    </w:p>
    <w:p w:rsidR="00913197" w:rsidRDefault="000341BF">
      <w:pPr>
        <w:pStyle w:val="NormalWeb"/>
        <w:shd w:val="clear" w:color="auto" w:fill="FFFFFF"/>
        <w:spacing w:before="160" w:after="160"/>
        <w:jc w:val="both"/>
        <w:rPr>
          <w:rFonts w:eastAsia="Segoe UI"/>
          <w:sz w:val="22"/>
          <w:szCs w:val="22"/>
        </w:rPr>
      </w:pPr>
      <w:r>
        <w:rPr>
          <w:rStyle w:val="lev"/>
          <w:rFonts w:eastAsia="Segoe UI"/>
          <w:sz w:val="22"/>
          <w:szCs w:val="22"/>
          <w:shd w:val="clear" w:color="auto" w:fill="FFFFFF"/>
        </w:rPr>
        <w:lastRenderedPageBreak/>
        <w:t>2. Caractéristiques démographiques : Âge et Genre</w:t>
      </w:r>
      <w:r>
        <w:rPr>
          <w:rFonts w:eastAsia="Segoe UI"/>
          <w:sz w:val="22"/>
          <w:szCs w:val="22"/>
          <w:shd w:val="clear" w:color="auto" w:fill="FFFFFF"/>
        </w:rPr>
        <w:br/>
        <w:t xml:space="preserve">L’âge moyen de la présente population était de 42,6 ± 23,2 ans, avec un pic de fréquence entre 60 et 70 ans. Ces données sont plus jeunes avec les âges moyens rapportés dans des études européennes sur la DVE (52 ans; 53,8 ans) et malgaches sur l’HSA (54 ans) (7-9). Une prédominance masculine (58,3%, </w:t>
      </w:r>
      <w:r>
        <w:rPr>
          <w:rFonts w:eastAsia="Segoe UI"/>
          <w:i/>
          <w:iCs/>
          <w:sz w:val="22"/>
          <w:szCs w:val="22"/>
          <w:shd w:val="clear" w:color="auto" w:fill="FFFFFF"/>
        </w:rPr>
        <w:t>sex-ratio</w:t>
      </w:r>
      <w:r>
        <w:rPr>
          <w:rFonts w:eastAsia="Segoe UI"/>
          <w:sz w:val="22"/>
          <w:szCs w:val="22"/>
          <w:shd w:val="clear" w:color="auto" w:fill="FFFFFF"/>
        </w:rPr>
        <w:t xml:space="preserve"> 1,4) a été observée, contrairement à des études sur l’HSA qui rapportent une prédominance féminine (7, 8). Cette différence pourrait être liée à la prévalence plus élevée des facteurs de risque vasculaires, comme le tabagisme, chez les hommes dans le présent contexte (9).</w:t>
      </w:r>
    </w:p>
    <w:p w:rsidR="00913197" w:rsidRDefault="000341BF">
      <w:pPr>
        <w:pStyle w:val="NormalWeb"/>
        <w:shd w:val="clear" w:color="auto" w:fill="FFFFFF"/>
        <w:spacing w:before="160" w:after="160"/>
        <w:jc w:val="both"/>
        <w:rPr>
          <w:rFonts w:eastAsia="Segoe UI"/>
          <w:sz w:val="22"/>
          <w:szCs w:val="22"/>
        </w:rPr>
      </w:pPr>
      <w:r>
        <w:rPr>
          <w:rStyle w:val="lev"/>
          <w:rFonts w:eastAsia="Segoe UI"/>
          <w:sz w:val="22"/>
          <w:szCs w:val="22"/>
          <w:shd w:val="clear" w:color="auto" w:fill="FFFFFF"/>
        </w:rPr>
        <w:t>3. Indications de la DVE et tableau clinique</w:t>
      </w:r>
      <w:r>
        <w:rPr>
          <w:rFonts w:eastAsia="Segoe UI"/>
          <w:sz w:val="22"/>
          <w:szCs w:val="22"/>
          <w:shd w:val="clear" w:color="auto" w:fill="FFFFFF"/>
        </w:rPr>
        <w:br/>
        <w:t xml:space="preserve">Les principales indications étaient l’accident vasculaire cérébral (AVC) (73,5%), la méningo-encéphalite (44%) et l’HSA (13,5%). Ces étiologies sont des causes connues d’hydrocéphalie par perturbation de la circulation du LCR (10, 11). La forte proportion de méningo-encéphalites reflète probablement les retards de consultation et les risques de complications sévères dans le contexte socio-économique de cette étude (12). Sur le plan clinique, la majorité des patients </w:t>
      </w:r>
      <w:r>
        <w:rPr>
          <w:rFonts w:eastAsia="Segoe UI"/>
          <w:sz w:val="22"/>
          <w:szCs w:val="22"/>
          <w:shd w:val="clear" w:color="auto" w:fill="FFFFFF"/>
        </w:rPr>
        <w:lastRenderedPageBreak/>
        <w:t>(77,8%) étaient admis en réanimation en postopératoire immédiat, une proportion comparable à celle rapportée par Luxembourger P (1) (75,26%). Les signes d’appel préopératoires les plus fréquents étaient la céphalée (83,3%), les troubles de conscience et les déficits neurologiques, en accord avec la sémiologie classique de l’HTIC (13).</w:t>
      </w:r>
    </w:p>
    <w:p w:rsidR="00913197" w:rsidRDefault="000341BF">
      <w:pPr>
        <w:spacing w:line="240" w:lineRule="auto"/>
        <w:jc w:val="both"/>
        <w:rPr>
          <w:rFonts w:ascii="Times New Roman" w:eastAsia="Segoe UI" w:hAnsi="Times New Roman" w:cs="Times New Roman"/>
        </w:rPr>
      </w:pPr>
      <w:r>
        <w:rPr>
          <w:rStyle w:val="lev"/>
          <w:rFonts w:ascii="Times New Roman" w:eastAsia="Segoe UI" w:hAnsi="Times New Roman" w:cs="Times New Roman"/>
          <w:shd w:val="clear" w:color="auto" w:fill="FFFFFF"/>
        </w:rPr>
        <w:t>4. Prise en charge et évolution</w:t>
      </w:r>
      <w:r>
        <w:rPr>
          <w:rFonts w:ascii="Times New Roman" w:eastAsia="Segoe UI" w:hAnsi="Times New Roman" w:cs="Times New Roman"/>
          <w:shd w:val="clear" w:color="auto" w:fill="FFFFFF"/>
        </w:rPr>
        <w:br/>
        <w:t>La totalité des patients a reçu une oxygénothérapie, avec 75% d’intubation orotrachéale. La prise en charge médicamenteuse a systématiquement inclus une antibiothérapie (notamment C3G, imidazolés), justifiée par le risque infectieux sur matériel et une osmothérapie au mannitol chez 52,8% des patients pour lutter contre l’œdème cérébral (14, 15).</w:t>
      </w:r>
      <w:r>
        <w:rPr>
          <w:rFonts w:ascii="Times New Roman" w:eastAsia="Segoe UI" w:hAnsi="Times New Roman" w:cs="Times New Roman"/>
          <w:shd w:val="clear" w:color="auto" w:fill="FFFFFF"/>
        </w:rPr>
        <w:br/>
        <w:t xml:space="preserve">Malgré ce traitement, l’évolution a été marquée par une aggravation neurologique chez 50,9% des patients et une mortalité globale élevée (53,7%). Le taux d’infection sur DVE est probablement sous-estimé en raison du faible accès aux examens du LCR, mais reste dans la fourchette basse de la littérature (5-20%) (16). Les complications infectieuses (30,5%) et l’engagement cérébral (26,8%) étaient fréquents. </w:t>
      </w:r>
      <w:r>
        <w:rPr>
          <w:rFonts w:ascii="Times New Roman" w:hAnsi="Times New Roman" w:cs="Times New Roman"/>
        </w:rPr>
        <w:t>La mortalité des patients est associée au délai de prise en charge, aux comorbidités et aux signes clinico-</w:t>
      </w:r>
      <w:r>
        <w:rPr>
          <w:rFonts w:ascii="Times New Roman" w:hAnsi="Times New Roman" w:cs="Times New Roman"/>
        </w:rPr>
        <w:lastRenderedPageBreak/>
        <w:t>paracliniques présentés par les patients et à la qualité de prise en charge (6).</w:t>
      </w:r>
    </w:p>
    <w:p w:rsidR="00913197" w:rsidRDefault="000341BF">
      <w:pPr>
        <w:pStyle w:val="NormalWeb"/>
        <w:shd w:val="clear" w:color="auto" w:fill="FFFFFF"/>
        <w:spacing w:before="160" w:after="160"/>
        <w:jc w:val="both"/>
        <w:rPr>
          <w:rFonts w:eastAsia="Segoe UI"/>
          <w:sz w:val="22"/>
          <w:szCs w:val="22"/>
          <w:shd w:val="clear" w:color="auto" w:fill="FFFFFF"/>
        </w:rPr>
      </w:pPr>
      <w:r>
        <w:rPr>
          <w:rStyle w:val="lev"/>
          <w:rFonts w:eastAsia="Segoe UI"/>
          <w:sz w:val="22"/>
          <w:szCs w:val="22"/>
          <w:shd w:val="clear" w:color="auto" w:fill="FFFFFF"/>
        </w:rPr>
        <w:t>5. Facteurs associés à la mortalité</w:t>
      </w:r>
      <w:r>
        <w:rPr>
          <w:rFonts w:eastAsia="Segoe UI"/>
          <w:sz w:val="22"/>
          <w:szCs w:val="22"/>
          <w:shd w:val="clear" w:color="auto" w:fill="FFFFFF"/>
        </w:rPr>
        <w:br/>
        <w:t>L’analyse a identifié des facteurs associés à la mortalité communs aux enfants et aux adultes :</w:t>
      </w:r>
    </w:p>
    <w:p w:rsidR="00913197" w:rsidRDefault="000341BF">
      <w:pPr>
        <w:pStyle w:val="NormalWeb"/>
        <w:shd w:val="clear" w:color="auto" w:fill="FFFFFF"/>
        <w:spacing w:before="160" w:after="160"/>
        <w:jc w:val="both"/>
        <w:rPr>
          <w:sz w:val="22"/>
          <w:szCs w:val="22"/>
        </w:rPr>
      </w:pPr>
      <w:r>
        <w:rPr>
          <w:rStyle w:val="lev"/>
          <w:rFonts w:eastAsia="Segoe UI"/>
          <w:sz w:val="22"/>
          <w:szCs w:val="22"/>
          <w:shd w:val="clear" w:color="auto" w:fill="FFFFFF"/>
        </w:rPr>
        <w:t xml:space="preserve"> Cliniques</w:t>
      </w:r>
      <w:r>
        <w:rPr>
          <w:rFonts w:eastAsia="Segoe UI"/>
          <w:sz w:val="22"/>
          <w:szCs w:val="22"/>
          <w:shd w:val="clear" w:color="auto" w:fill="FFFFFF"/>
        </w:rPr>
        <w:t xml:space="preserve"> : Un score à l’échelle de Glasgow bas (p=0,0047 enfant ; p= </w:t>
      </w:r>
      <w:r>
        <w:rPr>
          <w:sz w:val="22"/>
          <w:szCs w:val="22"/>
        </w:rPr>
        <w:t>0,0001</w:t>
      </w:r>
      <w:r>
        <w:rPr>
          <w:rFonts w:eastAsia="Segoe UI"/>
          <w:sz w:val="22"/>
          <w:szCs w:val="22"/>
          <w:shd w:val="clear" w:color="auto" w:fill="FFFFFF"/>
        </w:rPr>
        <w:t xml:space="preserve"> adulte) et la présence d’anomalies pupillaires en postopératoire (p=0,0052 enfant ; p=0,00005 adulte). Tous ses signes sont le reflet d’une souffrance cérébrale sévère (6, 17).</w:t>
      </w:r>
    </w:p>
    <w:p w:rsidR="00913197" w:rsidRDefault="000341BF">
      <w:pPr>
        <w:pStyle w:val="NormalWeb"/>
        <w:jc w:val="both"/>
        <w:rPr>
          <w:sz w:val="22"/>
          <w:szCs w:val="22"/>
        </w:rPr>
      </w:pPr>
      <w:r>
        <w:rPr>
          <w:rStyle w:val="lev"/>
          <w:rFonts w:eastAsia="Segoe UI"/>
          <w:sz w:val="22"/>
          <w:szCs w:val="22"/>
          <w:shd w:val="clear" w:color="auto" w:fill="FFFFFF"/>
        </w:rPr>
        <w:t>- Thérapeutiques/évolutifs</w:t>
      </w:r>
      <w:r>
        <w:rPr>
          <w:rFonts w:eastAsia="Segoe UI"/>
          <w:sz w:val="22"/>
          <w:szCs w:val="22"/>
          <w:shd w:val="clear" w:color="auto" w:fill="FFFFFF"/>
        </w:rPr>
        <w:t> : La nécessité d’une intubation (p=0,012 enfant ; p</w:t>
      </w:r>
      <w:r>
        <w:rPr>
          <w:rFonts w:eastAsia="Segoe UI"/>
          <w:sz w:val="22"/>
          <w:szCs w:val="22"/>
          <w:lang w:val="en-US" w:eastAsia="zh-CN"/>
        </w:rPr>
        <w:t>&lt; 0,00005</w:t>
      </w:r>
      <w:r>
        <w:rPr>
          <w:rFonts w:eastAsia="Segoe UI"/>
          <w:sz w:val="22"/>
          <w:szCs w:val="22"/>
          <w:shd w:val="clear" w:color="auto" w:fill="FFFFFF"/>
        </w:rPr>
        <w:t xml:space="preserve"> adulte), l’aggravation neurologique (</w:t>
      </w:r>
      <w:r>
        <w:rPr>
          <w:rFonts w:eastAsia="Segoe UI"/>
          <w:sz w:val="22"/>
          <w:szCs w:val="22"/>
          <w:lang w:val="en-US" w:eastAsia="zh-CN"/>
        </w:rPr>
        <w:t>&lt; 0,00005</w:t>
      </w:r>
      <w:r>
        <w:rPr>
          <w:rFonts w:eastAsia="Segoe UI"/>
          <w:sz w:val="22"/>
          <w:szCs w:val="22"/>
          <w:shd w:val="clear" w:color="auto" w:fill="FFFFFF"/>
        </w:rPr>
        <w:t xml:space="preserve">) et les signes d’engagement cérébral (p=0,0424 enfant ; </w:t>
      </w:r>
      <w:r>
        <w:rPr>
          <w:rFonts w:eastAsia="Segoe UI"/>
          <w:color w:val="0F1115"/>
          <w:sz w:val="22"/>
          <w:szCs w:val="22"/>
          <w:lang w:val="en-US" w:eastAsia="zh-CN"/>
        </w:rPr>
        <w:t>&lt; 0,00005</w:t>
      </w:r>
      <w:r>
        <w:rPr>
          <w:rFonts w:eastAsia="Segoe UI"/>
          <w:sz w:val="22"/>
          <w:szCs w:val="22"/>
          <w:shd w:val="clear" w:color="auto" w:fill="FFFFFF"/>
        </w:rPr>
        <w:t xml:space="preserve">adulte). </w:t>
      </w:r>
      <w:r>
        <w:rPr>
          <w:sz w:val="22"/>
          <w:szCs w:val="22"/>
        </w:rPr>
        <w:t xml:space="preserve">L’indication de l’intubation orotrachéale pendant l’hospitalisation est généralement due à une hypoventilation responsable d’hypoxémie, suite à l’altération de la conscience, qui est un facteur d’aggression cérébrale secondaire d’origine systémique (ACSOS)augmentant la mortalité chez les cérébrolésés </w:t>
      </w:r>
      <w:r w:rsidR="00F82722">
        <w:rPr>
          <w:sz w:val="22"/>
          <w:szCs w:val="22"/>
        </w:rPr>
        <w:fldChar w:fldCharType="begin"/>
      </w:r>
      <w:r>
        <w:rPr>
          <w:sz w:val="22"/>
          <w:szCs w:val="22"/>
        </w:rPr>
        <w:instrText xml:space="preserve"> ADDIN ZOTERO_ITEM CSL_CITATION {"citationID":"5nEm78ao","properties":{"formattedCitation":"[75]","plainCitation":"[75]","noteIndex":0},"citationItems":[{"id":"IyfoozrP/ojTiQmHz","uris":["http://zotero.org/users/11041994/items/9VXYWNK2"],"itemData":{"id":676,"type":"article-journal","container-title":"Rev. Afr. Anesth. Méd.Urg","issue":"3","page":"62-7","title":"Facteurs d'agressions cérébrales secondaires d'origine systémique des patients de réanimation traumatisés crâniens graves au C.H.U. Gabriel Touré.","volume":"17","author":[{"family":"Samaké BM, Goita D, Diaga D, Diani N, Kéita M, Diallo","given":"A"}],"issued":{"date-parts":[["2012"]]}}}],"schema":"https://github.com/citation-style-language/schema/raw/master/csl-citation.json"} </w:instrText>
      </w:r>
      <w:r w:rsidR="00F82722">
        <w:rPr>
          <w:sz w:val="22"/>
          <w:szCs w:val="22"/>
        </w:rPr>
        <w:fldChar w:fldCharType="separate"/>
      </w:r>
      <w:r>
        <w:rPr>
          <w:sz w:val="22"/>
          <w:szCs w:val="22"/>
        </w:rPr>
        <w:t>(1</w:t>
      </w:r>
      <w:r w:rsidR="00F82722">
        <w:rPr>
          <w:sz w:val="22"/>
          <w:szCs w:val="22"/>
        </w:rPr>
        <w:fldChar w:fldCharType="end"/>
      </w:r>
      <w:r>
        <w:rPr>
          <w:sz w:val="22"/>
          <w:szCs w:val="22"/>
        </w:rPr>
        <w:t>8). Il est à noter que la présence d’un engagement cérébral augmente le risque de mortalité (p =0,007) (19).</w:t>
      </w:r>
    </w:p>
    <w:p w:rsidR="00913197" w:rsidRDefault="00913197">
      <w:pPr>
        <w:pStyle w:val="NormalWeb"/>
        <w:jc w:val="both"/>
        <w:rPr>
          <w:sz w:val="22"/>
          <w:szCs w:val="22"/>
        </w:rPr>
      </w:pPr>
    </w:p>
    <w:p w:rsidR="00913197" w:rsidRDefault="00913197">
      <w:pPr>
        <w:spacing w:after="0" w:line="240" w:lineRule="auto"/>
        <w:jc w:val="both"/>
        <w:rPr>
          <w:rFonts w:ascii="Times New Roman" w:hAnsi="Times New Roman" w:cs="Times New Roman"/>
        </w:rPr>
      </w:pPr>
    </w:p>
    <w:p w:rsidR="00913197" w:rsidRDefault="00913197">
      <w:pPr>
        <w:spacing w:after="0" w:line="240" w:lineRule="auto"/>
        <w:jc w:val="both"/>
        <w:rPr>
          <w:rFonts w:ascii="Times New Roman" w:hAnsi="Times New Roman" w:cs="Times New Roman"/>
          <w:b/>
        </w:rPr>
        <w:sectPr w:rsidR="00913197">
          <w:type w:val="continuous"/>
          <w:pgSz w:w="11906" w:h="16838"/>
          <w:pgMar w:top="1417" w:right="1417" w:bottom="1417" w:left="1417" w:header="708" w:footer="708" w:gutter="0"/>
          <w:cols w:num="2" w:space="708"/>
          <w:docGrid w:linePitch="360"/>
        </w:sectPr>
      </w:pPr>
    </w:p>
    <w:p w:rsidR="00913197" w:rsidRDefault="00913197">
      <w:pPr>
        <w:spacing w:after="0" w:line="240" w:lineRule="auto"/>
        <w:jc w:val="both"/>
        <w:rPr>
          <w:rFonts w:ascii="Times New Roman" w:hAnsi="Times New Roman" w:cs="Times New Roman"/>
          <w:b/>
        </w:rPr>
      </w:pPr>
    </w:p>
    <w:p w:rsidR="00913197" w:rsidRDefault="00E82150">
      <w:pPr>
        <w:spacing w:after="0" w:line="240" w:lineRule="auto"/>
        <w:jc w:val="both"/>
        <w:rPr>
          <w:rFonts w:ascii="Times New Roman" w:hAnsi="Times New Roman" w:cs="Times New Roman"/>
          <w:b/>
          <w:color w:val="0000FF"/>
        </w:rPr>
      </w:pPr>
      <w:r>
        <w:rPr>
          <w:rFonts w:ascii="Times New Roman" w:hAnsi="Times New Roman" w:cs="Times New Roman"/>
          <w:b/>
          <w:color w:val="0000FF"/>
        </w:rPr>
        <w:pict>
          <v:shape id="_x0000_s1031" type="#_x0000_t32" style="position:absolute;left:0;text-align:left;margin-left:59.95pt;margin-top:7.95pt;width:392.4pt;height:0;z-index:251663360" o:connectortype="straight" strokecolor="blue" strokeweight="1.5pt"/>
        </w:pict>
      </w:r>
      <w:r w:rsidR="000341BF">
        <w:rPr>
          <w:rFonts w:ascii="Times New Roman" w:hAnsi="Times New Roman" w:cs="Times New Roman"/>
          <w:b/>
          <w:color w:val="0000FF"/>
        </w:rPr>
        <w:t xml:space="preserve">Conclusion  </w:t>
      </w:r>
    </w:p>
    <w:p w:rsidR="00913197" w:rsidRDefault="000341BF">
      <w:pPr>
        <w:spacing w:after="0" w:line="240" w:lineRule="auto"/>
        <w:jc w:val="both"/>
        <w:rPr>
          <w:rFonts w:ascii="Times New Roman" w:hAnsi="Times New Roman" w:cs="Times New Roman"/>
        </w:rPr>
      </w:pPr>
      <w:r>
        <w:rPr>
          <w:rFonts w:ascii="Times New Roman" w:eastAsia="Segoe UI" w:hAnsi="Times New Roman" w:cs="Times New Roman"/>
          <w:shd w:val="clear" w:color="auto" w:fill="FFFFFF"/>
        </w:rPr>
        <w:t xml:space="preserve">Cette étude décrit un profil épidémiologique où la DVE est principalement indiquée pour des hydrocéphalies secondaires à des AVC ou des méningo-encéphalites. </w:t>
      </w:r>
      <w:r>
        <w:rPr>
          <w:rFonts w:ascii="Times New Roman" w:eastAsia="Segoe UI" w:hAnsi="Times New Roman" w:cs="Times New Roman"/>
          <w:color w:val="0F1115"/>
          <w:shd w:val="clear" w:color="auto" w:fill="FFFFFF"/>
        </w:rPr>
        <w:t xml:space="preserve">La mortalité post-DVE est très élevée dans notre contexte, principalement liée à la sévérité neurologique initiale et aux complications évolutives. </w:t>
      </w:r>
      <w:r>
        <w:rPr>
          <w:rFonts w:ascii="Times New Roman" w:eastAsia="Segoe UI" w:hAnsi="Times New Roman" w:cs="Times New Roman"/>
          <w:shd w:val="clear" w:color="auto" w:fill="FFFFFF"/>
        </w:rPr>
        <w:t xml:space="preserve">Le taux de mortalité élevé semble multifactoriel, associant la gravité initiale des lésions, la prévalence des comorbidités, les retards à la consultation et des limitations dans les ressources de soins critiques. Les facteurs de risque identifiés, ainsi que les contraintes contextuelles, soulignent la nécessité de stratégies de prévention. </w:t>
      </w:r>
      <w:r>
        <w:rPr>
          <w:rFonts w:ascii="Times New Roman" w:eastAsia="Segoe UI" w:hAnsi="Times New Roman" w:cs="Times New Roman"/>
          <w:color w:val="0F1115"/>
          <w:shd w:val="clear" w:color="auto" w:fill="FFFFFF"/>
        </w:rPr>
        <w:t>Une prise en charge plus précoce, une surveillance neurologique intensive pour détecter les aggravations, et des protocoles stricts de prévention des infections sur cathéter sont des axes d'amélioration prioritaires</w:t>
      </w:r>
    </w:p>
    <w:p w:rsidR="00913197" w:rsidRDefault="00E82150">
      <w:pPr>
        <w:spacing w:after="0" w:line="240" w:lineRule="auto"/>
        <w:jc w:val="both"/>
        <w:rPr>
          <w:rFonts w:ascii="Times New Roman" w:hAnsi="Times New Roman" w:cs="Times New Roman"/>
          <w:b/>
          <w:color w:val="0000FF"/>
        </w:rPr>
      </w:pPr>
      <w:r>
        <w:rPr>
          <w:rFonts w:ascii="Times New Roman" w:hAnsi="Times New Roman" w:cs="Times New Roman"/>
          <w:b/>
          <w:color w:val="0000FF"/>
        </w:rPr>
        <w:pict>
          <v:shape id="_x0000_s1032" type="#_x0000_t32" style="position:absolute;left:0;text-align:left;margin-left:59.35pt;margin-top:7.8pt;width:395.4pt;height:0;z-index:251664384" o:connectortype="straight" strokecolor="blue" strokeweight="1.5pt"/>
        </w:pict>
      </w:r>
      <w:r w:rsidR="000341BF">
        <w:rPr>
          <w:rFonts w:ascii="Times New Roman" w:hAnsi="Times New Roman" w:cs="Times New Roman"/>
          <w:b/>
          <w:color w:val="0000FF"/>
        </w:rPr>
        <w:t xml:space="preserve">Références </w:t>
      </w:r>
    </w:p>
    <w:p w:rsidR="00913197" w:rsidRDefault="000341BF">
      <w:pPr>
        <w:pStyle w:val="Titre3"/>
        <w:numPr>
          <w:ilvl w:val="0"/>
          <w:numId w:val="5"/>
        </w:numPr>
        <w:shd w:val="clear" w:color="auto" w:fill="FFFFFF"/>
        <w:spacing w:beforeAutospacing="0" w:afterAutospacing="0"/>
        <w:jc w:val="both"/>
        <w:rPr>
          <w:rFonts w:ascii="Times New Roman" w:eastAsia="Segoe UI" w:hAnsi="Times New Roman" w:hint="default"/>
          <w:b w:val="0"/>
          <w:bCs w:val="0"/>
          <w:color w:val="0F1115"/>
          <w:sz w:val="22"/>
          <w:szCs w:val="22"/>
          <w:lang w:val="fr-FR"/>
        </w:rPr>
      </w:pPr>
      <w:r>
        <w:rPr>
          <w:rFonts w:ascii="Times New Roman" w:hAnsi="Times New Roman" w:hint="default"/>
          <w:b w:val="0"/>
          <w:bCs w:val="0"/>
          <w:sz w:val="22"/>
          <w:szCs w:val="22"/>
          <w:lang w:val="fr-FR"/>
        </w:rPr>
        <w:t xml:space="preserve">Luxembourger P, Colnat-Coulbois S, Baumann A, Audibert G. Infections sur dérivation ventriculaire externe en réanimation neurochirurgicale. </w:t>
      </w:r>
      <w:r>
        <w:rPr>
          <w:rFonts w:ascii="Times New Roman" w:hAnsi="Times New Roman" w:hint="default"/>
          <w:b w:val="0"/>
          <w:bCs w:val="0"/>
          <w:sz w:val="22"/>
          <w:szCs w:val="22"/>
        </w:rPr>
        <w:t xml:space="preserve">Étude rétrospective monocentrique sur quatre ans. Anesthésie &amp; Réanimation. 2015;1:A179. </w:t>
      </w:r>
    </w:p>
    <w:p w:rsidR="00913197" w:rsidRDefault="000341BF">
      <w:pPr>
        <w:pStyle w:val="Titre3"/>
        <w:numPr>
          <w:ilvl w:val="0"/>
          <w:numId w:val="5"/>
        </w:numPr>
        <w:shd w:val="clear" w:color="auto" w:fill="FFFFFF"/>
        <w:spacing w:beforeAutospacing="0" w:afterAutospacing="0"/>
        <w:jc w:val="both"/>
        <w:rPr>
          <w:rFonts w:ascii="Times New Roman" w:hAnsi="Times New Roman" w:hint="default"/>
          <w:b w:val="0"/>
          <w:bCs w:val="0"/>
          <w:sz w:val="22"/>
          <w:szCs w:val="22"/>
          <w:lang w:val="fr-FR"/>
        </w:rPr>
      </w:pPr>
      <w:r>
        <w:rPr>
          <w:rFonts w:ascii="Times New Roman" w:hAnsi="Times New Roman" w:hint="default"/>
          <w:b w:val="0"/>
          <w:bCs w:val="0"/>
          <w:sz w:val="22"/>
          <w:szCs w:val="22"/>
          <w:lang w:val="fr-FR"/>
        </w:rPr>
        <w:t xml:space="preserve">Finck CA. Infections sur les dérivations ventriculaires externes en réanimation neurochirurgicale : audit clinique après mise en place d’un protocole de prévention [Thèse]. Médecine Humaine: Lorraine; 2017. 49p. </w:t>
      </w:r>
    </w:p>
    <w:p w:rsidR="00913197" w:rsidRDefault="000341BF">
      <w:pPr>
        <w:pStyle w:val="Titre3"/>
        <w:numPr>
          <w:ilvl w:val="0"/>
          <w:numId w:val="5"/>
        </w:numPr>
        <w:shd w:val="clear" w:color="auto" w:fill="FFFFFF"/>
        <w:spacing w:beforeAutospacing="0" w:afterAutospacing="0"/>
        <w:jc w:val="both"/>
        <w:rPr>
          <w:rFonts w:ascii="Times New Roman" w:eastAsia="Segoe UI" w:hAnsi="Times New Roman" w:hint="default"/>
          <w:b w:val="0"/>
          <w:bCs w:val="0"/>
          <w:color w:val="0F1115"/>
          <w:sz w:val="22"/>
          <w:szCs w:val="22"/>
        </w:rPr>
      </w:pPr>
      <w:r>
        <w:rPr>
          <w:rFonts w:ascii="Times New Roman" w:hAnsi="Times New Roman" w:hint="default"/>
          <w:b w:val="0"/>
          <w:bCs w:val="0"/>
          <w:sz w:val="22"/>
          <w:szCs w:val="22"/>
          <w:lang w:val="fr-FR"/>
        </w:rPr>
        <w:t xml:space="preserve">Idrissi SR, Aqqad A, Sami A, Hilmani S, Ibahioin K, Naja A et al. L’hydrocéphalie post-méningitique du nourrisson et de l’enfant à propos de 47 cas. Journal de Neurochirurgie. </w:t>
      </w:r>
      <w:r>
        <w:rPr>
          <w:rFonts w:ascii="Times New Roman" w:hAnsi="Times New Roman" w:hint="default"/>
          <w:b w:val="0"/>
          <w:bCs w:val="0"/>
          <w:sz w:val="22"/>
          <w:szCs w:val="22"/>
        </w:rPr>
        <w:t xml:space="preserve">2008 (08): 7-11. </w:t>
      </w:r>
    </w:p>
    <w:p w:rsidR="00913197" w:rsidRDefault="000341BF">
      <w:pPr>
        <w:pStyle w:val="Titre3"/>
        <w:numPr>
          <w:ilvl w:val="0"/>
          <w:numId w:val="5"/>
        </w:numPr>
        <w:shd w:val="clear" w:color="auto" w:fill="FFFFFF"/>
        <w:spacing w:beforeAutospacing="0" w:afterAutospacing="0"/>
        <w:jc w:val="both"/>
        <w:rPr>
          <w:rFonts w:ascii="Times New Roman" w:eastAsia="Segoe UI" w:hAnsi="Times New Roman" w:hint="default"/>
          <w:b w:val="0"/>
          <w:bCs w:val="0"/>
          <w:color w:val="0F1115"/>
          <w:sz w:val="22"/>
          <w:szCs w:val="22"/>
        </w:rPr>
      </w:pPr>
      <w:r>
        <w:rPr>
          <w:rStyle w:val="lev"/>
          <w:rFonts w:ascii="Times New Roman" w:eastAsia="Segoe UI" w:hAnsi="Times New Roman" w:hint="default"/>
          <w:color w:val="0F1115"/>
          <w:sz w:val="22"/>
          <w:szCs w:val="22"/>
          <w:shd w:val="clear" w:color="auto" w:fill="FFFFFF"/>
          <w:lang w:val="fr-FR"/>
        </w:rPr>
        <w:lastRenderedPageBreak/>
        <w:t>Rahendrimanana DDJ.</w:t>
      </w:r>
      <w:r>
        <w:rPr>
          <w:rFonts w:ascii="Times New Roman" w:eastAsia="Segoe UI" w:hAnsi="Times New Roman" w:hint="default"/>
          <w:b w:val="0"/>
          <w:bCs w:val="0"/>
          <w:color w:val="0F1115"/>
          <w:sz w:val="22"/>
          <w:szCs w:val="22"/>
          <w:shd w:val="clear" w:color="auto" w:fill="FFFFFF"/>
          <w:lang w:val="fr-FR"/>
        </w:rPr>
        <w:t> Prise en charge de l’hydrocéphalie chez l’enfant au service de neurochirurgie du centre hospitalier de Soavinandriana </w:t>
      </w:r>
      <w:r>
        <w:rPr>
          <w:rStyle w:val="lev"/>
          <w:rFonts w:ascii="Times New Roman" w:eastAsia="Segoe UI" w:hAnsi="Times New Roman" w:hint="default"/>
          <w:color w:val="0F1115"/>
          <w:sz w:val="22"/>
          <w:szCs w:val="22"/>
          <w:shd w:val="clear" w:color="auto" w:fill="FFFFFF"/>
          <w:lang w:val="fr-FR"/>
        </w:rPr>
        <w:t xml:space="preserve">[Thèse]. </w:t>
      </w:r>
      <w:r>
        <w:rPr>
          <w:rStyle w:val="lev"/>
          <w:rFonts w:ascii="Times New Roman" w:eastAsia="Segoe UI" w:hAnsi="Times New Roman" w:hint="default"/>
          <w:color w:val="0F1115"/>
          <w:sz w:val="22"/>
          <w:szCs w:val="22"/>
          <w:shd w:val="clear" w:color="auto" w:fill="FFFFFF"/>
        </w:rPr>
        <w:t>Antananarivo : Université d'Antananarivo, Faculté de Médecine;</w:t>
      </w:r>
      <w:r>
        <w:rPr>
          <w:rFonts w:ascii="Times New Roman" w:eastAsia="Segoe UI" w:hAnsi="Times New Roman" w:hint="default"/>
          <w:b w:val="0"/>
          <w:bCs w:val="0"/>
          <w:color w:val="0F1115"/>
          <w:sz w:val="22"/>
          <w:szCs w:val="22"/>
          <w:shd w:val="clear" w:color="auto" w:fill="FFFFFF"/>
        </w:rPr>
        <w:t> 2015. </w:t>
      </w:r>
      <w:r>
        <w:rPr>
          <w:rFonts w:ascii="Times New Roman" w:eastAsia="Segoe UI" w:hAnsi="Times New Roman" w:hint="default"/>
          <w:b w:val="0"/>
          <w:bCs w:val="0"/>
          <w:color w:val="0F1115"/>
          <w:sz w:val="22"/>
          <w:szCs w:val="22"/>
          <w:shd w:val="clear" w:color="auto" w:fill="FFFFFF"/>
          <w:lang w:val="fr-FR"/>
        </w:rPr>
        <w:t>63</w:t>
      </w:r>
      <w:r>
        <w:rPr>
          <w:rStyle w:val="lev"/>
          <w:rFonts w:ascii="Times New Roman" w:eastAsia="Segoe UI" w:hAnsi="Times New Roman" w:hint="default"/>
          <w:color w:val="0F1115"/>
          <w:sz w:val="22"/>
          <w:szCs w:val="22"/>
          <w:shd w:val="clear" w:color="auto" w:fill="FFFFFF"/>
        </w:rPr>
        <w:t>p</w:t>
      </w:r>
    </w:p>
    <w:p w:rsidR="00913197" w:rsidRDefault="000341BF">
      <w:pPr>
        <w:pStyle w:val="Titre3"/>
        <w:numPr>
          <w:ilvl w:val="0"/>
          <w:numId w:val="5"/>
        </w:numPr>
        <w:shd w:val="clear" w:color="auto" w:fill="FFFFFF"/>
        <w:spacing w:beforeAutospacing="0" w:afterAutospacing="0"/>
        <w:jc w:val="both"/>
        <w:rPr>
          <w:rFonts w:ascii="Times New Roman" w:eastAsia="Segoe UI" w:hAnsi="Times New Roman" w:hint="default"/>
          <w:b w:val="0"/>
          <w:bCs w:val="0"/>
          <w:sz w:val="22"/>
          <w:szCs w:val="22"/>
        </w:rPr>
      </w:pPr>
      <w:r>
        <w:rPr>
          <w:rFonts w:ascii="Times New Roman" w:eastAsia="Segoe UI" w:hAnsi="Times New Roman" w:hint="default"/>
          <w:b w:val="0"/>
          <w:bCs w:val="0"/>
          <w:color w:val="0F1115"/>
          <w:sz w:val="22"/>
          <w:szCs w:val="22"/>
          <w:lang w:val="fr-FR"/>
        </w:rPr>
        <w:t xml:space="preserve">Samidine </w:t>
      </w:r>
      <w:r>
        <w:rPr>
          <w:rFonts w:ascii="Times New Roman" w:hAnsi="Times New Roman" w:hint="default"/>
          <w:b w:val="0"/>
          <w:bCs w:val="0"/>
          <w:sz w:val="22"/>
          <w:szCs w:val="22"/>
          <w:lang w:val="fr-FR"/>
        </w:rPr>
        <w:t xml:space="preserve">SN. Etude de l’hydrocéphalie de l’adulte au service de neurochirurgie du CENHOSOA [Thèse]. </w:t>
      </w:r>
      <w:r>
        <w:rPr>
          <w:rFonts w:ascii="Times New Roman" w:hAnsi="Times New Roman" w:hint="default"/>
          <w:b w:val="0"/>
          <w:bCs w:val="0"/>
          <w:sz w:val="22"/>
          <w:szCs w:val="22"/>
        </w:rPr>
        <w:t xml:space="preserve">Médecine Humaine: Antananarivo; 2011. 100p. </w:t>
      </w:r>
    </w:p>
    <w:p w:rsidR="00913197" w:rsidRDefault="000341BF">
      <w:pPr>
        <w:pStyle w:val="Titre3"/>
        <w:numPr>
          <w:ilvl w:val="0"/>
          <w:numId w:val="5"/>
        </w:numPr>
        <w:shd w:val="clear" w:color="auto" w:fill="FFFFFF"/>
        <w:spacing w:beforeAutospacing="0" w:afterAutospacing="0"/>
        <w:jc w:val="both"/>
        <w:rPr>
          <w:rFonts w:ascii="Times New Roman" w:eastAsia="Segoe UI" w:hAnsi="Times New Roman" w:hint="default"/>
          <w:b w:val="0"/>
          <w:bCs w:val="0"/>
          <w:color w:val="0F1115"/>
          <w:sz w:val="22"/>
          <w:szCs w:val="22"/>
          <w:lang w:val="fr-FR"/>
        </w:rPr>
      </w:pPr>
      <w:r>
        <w:rPr>
          <w:rFonts w:ascii="Times New Roman" w:hAnsi="Times New Roman" w:hint="default"/>
          <w:b w:val="0"/>
          <w:bCs w:val="0"/>
          <w:sz w:val="22"/>
          <w:szCs w:val="22"/>
          <w:lang w:val="fr-FR"/>
        </w:rPr>
        <w:t xml:space="preserve">Njaraharitiana AN. Les facteurs prédictifs de mortalité des accidents vasculaires cérébraux admis au service ATUR Befelatanana [Thèse]. </w:t>
      </w:r>
      <w:r>
        <w:rPr>
          <w:rFonts w:ascii="Times New Roman" w:hAnsi="Times New Roman" w:hint="default"/>
          <w:b w:val="0"/>
          <w:bCs w:val="0"/>
          <w:sz w:val="22"/>
          <w:szCs w:val="22"/>
        </w:rPr>
        <w:t xml:space="preserve">Médecine Humaine: Antananarivo; 2015. 72p. </w:t>
      </w:r>
    </w:p>
    <w:p w:rsidR="00913197" w:rsidRDefault="000341BF">
      <w:pPr>
        <w:pStyle w:val="Titre3"/>
        <w:numPr>
          <w:ilvl w:val="0"/>
          <w:numId w:val="5"/>
        </w:numPr>
        <w:shd w:val="clear" w:color="auto" w:fill="FFFFFF"/>
        <w:spacing w:beforeAutospacing="0" w:afterAutospacing="0"/>
        <w:jc w:val="both"/>
        <w:rPr>
          <w:rFonts w:ascii="Times New Roman" w:hAnsi="Times New Roman" w:hint="default"/>
          <w:b w:val="0"/>
          <w:bCs w:val="0"/>
          <w:sz w:val="22"/>
          <w:szCs w:val="22"/>
          <w:lang w:val="fr-FR"/>
        </w:rPr>
      </w:pPr>
      <w:r>
        <w:rPr>
          <w:rFonts w:ascii="Times New Roman" w:hAnsi="Times New Roman" w:hint="default"/>
          <w:b w:val="0"/>
          <w:bCs w:val="0"/>
          <w:sz w:val="22"/>
          <w:szCs w:val="22"/>
          <w:lang w:val="fr-FR"/>
        </w:rPr>
        <w:t xml:space="preserve">Mourey C, Champey J, Francony G, Pavèse P, Payen J-F. Complications infectieuses sur dérivations ventriculaires externes en neuro-réanimation. </w:t>
      </w:r>
      <w:r>
        <w:rPr>
          <w:rStyle w:val="lev"/>
          <w:rFonts w:ascii="Times New Roman" w:eastAsia="Segoe UI" w:hAnsi="Times New Roman" w:hint="default"/>
          <w:color w:val="00B0F0"/>
          <w:sz w:val="22"/>
          <w:szCs w:val="22"/>
          <w:shd w:val="clear" w:color="auto" w:fill="FFFFFF"/>
          <w:lang w:val="fr-FR"/>
        </w:rPr>
        <w:t>Ann Fr Anesth Réanim. 2015;34(Suppl 1):</w:t>
      </w:r>
      <w:r>
        <w:rPr>
          <w:rFonts w:ascii="Times New Roman" w:eastAsia="Segoe UI" w:hAnsi="Times New Roman"/>
          <w:b w:val="0"/>
          <w:bCs w:val="0"/>
          <w:color w:val="00B0F0"/>
          <w:sz w:val="22"/>
          <w:szCs w:val="22"/>
          <w:shd w:val="clear" w:color="auto" w:fill="FFFFFF"/>
        </w:rPr>
        <w:t>A179-80</w:t>
      </w:r>
      <w:r>
        <w:rPr>
          <w:rStyle w:val="lev"/>
          <w:rFonts w:ascii="Times New Roman" w:eastAsia="Segoe UI" w:hAnsi="Times New Roman" w:hint="default"/>
          <w:sz w:val="22"/>
          <w:szCs w:val="22"/>
          <w:shd w:val="clear" w:color="auto" w:fill="FFFFFF"/>
          <w:lang w:val="fr-FR"/>
        </w:rPr>
        <w:t xml:space="preserve">. </w:t>
      </w:r>
    </w:p>
    <w:p w:rsidR="00913197" w:rsidRDefault="000341BF">
      <w:pPr>
        <w:pStyle w:val="Titre3"/>
        <w:numPr>
          <w:ilvl w:val="0"/>
          <w:numId w:val="5"/>
        </w:numPr>
        <w:shd w:val="clear" w:color="auto" w:fill="FFFFFF"/>
        <w:spacing w:beforeAutospacing="0" w:afterAutospacing="0"/>
        <w:jc w:val="both"/>
        <w:rPr>
          <w:rFonts w:ascii="Times New Roman" w:hAnsi="Times New Roman" w:hint="default"/>
          <w:b w:val="0"/>
          <w:bCs w:val="0"/>
          <w:color w:val="EE0000"/>
          <w:sz w:val="22"/>
          <w:szCs w:val="22"/>
          <w:lang w:val="fr-FR"/>
        </w:rPr>
      </w:pPr>
      <w:r>
        <w:rPr>
          <w:rFonts w:ascii="Times New Roman" w:eastAsia="Segoe UI" w:hAnsi="Times New Roman" w:hint="default"/>
          <w:b w:val="0"/>
          <w:bCs w:val="0"/>
          <w:color w:val="0F1115"/>
          <w:sz w:val="22"/>
          <w:szCs w:val="22"/>
          <w:shd w:val="clear" w:color="auto" w:fill="FFFFFF"/>
          <w:lang w:val="fr-FR"/>
        </w:rPr>
        <w:t>Djoumoi F. Anévrysmes intracrâniens rompus opérés au service de neurochirurgie du centre hospitalier de Soavinandriana [Thèse]. Antananarivo; 2020.</w:t>
      </w:r>
    </w:p>
    <w:p w:rsidR="00913197" w:rsidRDefault="000341BF">
      <w:pPr>
        <w:pStyle w:val="Titre3"/>
        <w:numPr>
          <w:ilvl w:val="0"/>
          <w:numId w:val="5"/>
        </w:numPr>
        <w:shd w:val="clear" w:color="auto" w:fill="FFFFFF"/>
        <w:spacing w:beforeAutospacing="0" w:afterAutospacing="0"/>
        <w:jc w:val="both"/>
        <w:rPr>
          <w:rFonts w:ascii="Times New Roman" w:hAnsi="Times New Roman" w:hint="default"/>
          <w:b w:val="0"/>
          <w:bCs w:val="0"/>
          <w:sz w:val="22"/>
          <w:szCs w:val="22"/>
        </w:rPr>
      </w:pPr>
      <w:r>
        <w:rPr>
          <w:rFonts w:ascii="Times New Roman" w:eastAsia="Segoe UI" w:hAnsi="Times New Roman" w:hint="default"/>
          <w:b w:val="0"/>
          <w:bCs w:val="0"/>
          <w:color w:val="0F1115"/>
          <w:sz w:val="22"/>
          <w:szCs w:val="22"/>
          <w:shd w:val="clear" w:color="auto" w:fill="FFFFFF"/>
          <w:lang w:val="fr-FR"/>
        </w:rPr>
        <w:t>Thomas D. Le tabagisme dans les pays en développement [Rapport]. Paris : Académie Nationale de Médecine ; 2021. 15 p. Disponible sur : </w:t>
      </w:r>
      <w:hyperlink r:id="rId15" w:tgtFrame="https://chat.deepseek.com/a/chat/s/_blank" w:history="1">
        <w:r>
          <w:rPr>
            <w:rStyle w:val="Lienhypertexte"/>
            <w:rFonts w:ascii="Times New Roman" w:eastAsia="Segoe UI" w:hAnsi="Times New Roman" w:hint="default"/>
            <w:b w:val="0"/>
            <w:bCs w:val="0"/>
            <w:color w:val="3964FE"/>
            <w:sz w:val="22"/>
            <w:szCs w:val="22"/>
            <w:u w:val="none"/>
            <w:shd w:val="clear" w:color="auto" w:fill="FFFFFF"/>
            <w:lang w:val="fr-FR"/>
          </w:rPr>
          <w:t>https://www.academie-medecine.fr/wp-content/uploads/2021/12/Rapport-Tabagisme-pays-en-d%C3%A9veloppement-Didier-THOMAS.pdf</w:t>
        </w:r>
      </w:hyperlink>
    </w:p>
    <w:p w:rsidR="00913197" w:rsidRDefault="000341BF">
      <w:pPr>
        <w:pStyle w:val="Titre3"/>
        <w:numPr>
          <w:ilvl w:val="0"/>
          <w:numId w:val="5"/>
        </w:numPr>
        <w:shd w:val="clear" w:color="auto" w:fill="FFFFFF"/>
        <w:spacing w:beforeAutospacing="0" w:afterAutospacing="0"/>
        <w:jc w:val="both"/>
        <w:rPr>
          <w:rFonts w:ascii="Times New Roman" w:hAnsi="Times New Roman" w:hint="default"/>
          <w:b w:val="0"/>
          <w:bCs w:val="0"/>
          <w:sz w:val="22"/>
          <w:szCs w:val="22"/>
        </w:rPr>
      </w:pPr>
      <w:r>
        <w:rPr>
          <w:rFonts w:ascii="Times New Roman" w:hAnsi="Times New Roman" w:hint="default"/>
          <w:b w:val="0"/>
          <w:bCs w:val="0"/>
          <w:sz w:val="22"/>
          <w:szCs w:val="22"/>
        </w:rPr>
        <w:t xml:space="preserve">Yamada S, Kelly E. Cerebrospinal Fluid Dynamics and the Pathophysiology of Hydrocephalus: New Concepts. Semin Ultrasound CT MR. 2016;37(2):84-91. </w:t>
      </w:r>
    </w:p>
    <w:p w:rsidR="00913197" w:rsidRDefault="000341BF">
      <w:pPr>
        <w:pStyle w:val="Titre3"/>
        <w:numPr>
          <w:ilvl w:val="0"/>
          <w:numId w:val="5"/>
        </w:numPr>
        <w:shd w:val="clear" w:color="auto" w:fill="FFFFFF"/>
        <w:spacing w:beforeAutospacing="0" w:afterAutospacing="0"/>
        <w:jc w:val="both"/>
        <w:rPr>
          <w:rFonts w:ascii="Times New Roman" w:hAnsi="Times New Roman" w:hint="default"/>
          <w:b w:val="0"/>
          <w:bCs w:val="0"/>
          <w:sz w:val="22"/>
          <w:szCs w:val="22"/>
        </w:rPr>
      </w:pPr>
      <w:r>
        <w:rPr>
          <w:rFonts w:ascii="Times New Roman" w:hAnsi="Times New Roman" w:hint="default"/>
          <w:b w:val="0"/>
          <w:bCs w:val="0"/>
          <w:sz w:val="22"/>
          <w:szCs w:val="22"/>
        </w:rPr>
        <w:t xml:space="preserve">Agarwal A, Bathla G, Kanekar S. Imaging of communicating hydrocephalus. semin ultrasound CT MR. 2016;37(2):100-8. </w:t>
      </w:r>
    </w:p>
    <w:p w:rsidR="00913197" w:rsidRDefault="000341BF">
      <w:pPr>
        <w:pStyle w:val="Titre3"/>
        <w:numPr>
          <w:ilvl w:val="0"/>
          <w:numId w:val="5"/>
        </w:numPr>
        <w:shd w:val="clear" w:color="auto" w:fill="FFFFFF"/>
        <w:spacing w:beforeAutospacing="0" w:afterAutospacing="0"/>
        <w:jc w:val="both"/>
        <w:rPr>
          <w:rFonts w:ascii="Times New Roman" w:hAnsi="Times New Roman" w:hint="default"/>
          <w:b w:val="0"/>
          <w:bCs w:val="0"/>
          <w:sz w:val="22"/>
          <w:szCs w:val="22"/>
        </w:rPr>
      </w:pPr>
      <w:r>
        <w:rPr>
          <w:rFonts w:ascii="Times New Roman" w:hAnsi="Times New Roman" w:hint="default"/>
          <w:b w:val="0"/>
          <w:bCs w:val="0"/>
          <w:sz w:val="22"/>
          <w:szCs w:val="22"/>
          <w:lang w:val="fr-FR"/>
        </w:rPr>
        <w:t xml:space="preserve">Hosseini H. Méningites infectieuses et méningo-encéphalite chez l’enfant et chez l’adulte. </w:t>
      </w:r>
      <w:r>
        <w:rPr>
          <w:rFonts w:ascii="Times New Roman" w:hAnsi="Times New Roman" w:hint="default"/>
          <w:b w:val="0"/>
          <w:bCs w:val="0"/>
          <w:sz w:val="22"/>
          <w:szCs w:val="22"/>
        </w:rPr>
        <w:t xml:space="preserve">La Conférence Hippocrate. 2005. 27p. </w:t>
      </w:r>
    </w:p>
    <w:p w:rsidR="00913197" w:rsidRDefault="000341BF">
      <w:pPr>
        <w:pStyle w:val="Titre3"/>
        <w:numPr>
          <w:ilvl w:val="0"/>
          <w:numId w:val="5"/>
        </w:numPr>
        <w:shd w:val="clear" w:color="auto" w:fill="FFFFFF"/>
        <w:spacing w:beforeAutospacing="0" w:afterAutospacing="0"/>
        <w:jc w:val="both"/>
        <w:rPr>
          <w:rFonts w:ascii="Times New Roman" w:hAnsi="Times New Roman" w:hint="default"/>
          <w:b w:val="0"/>
          <w:bCs w:val="0"/>
          <w:sz w:val="22"/>
          <w:szCs w:val="22"/>
        </w:rPr>
      </w:pPr>
      <w:r>
        <w:rPr>
          <w:rFonts w:ascii="Times New Roman" w:hAnsi="Times New Roman" w:hint="default"/>
          <w:b w:val="0"/>
          <w:bCs w:val="0"/>
          <w:sz w:val="22"/>
          <w:szCs w:val="22"/>
          <w:lang w:val="fr-FR"/>
        </w:rPr>
        <w:t xml:space="preserve">Irthum B, Lemaire J. Hypertension intracrânienne. </w:t>
      </w:r>
      <w:r>
        <w:rPr>
          <w:rFonts w:ascii="Times New Roman" w:hAnsi="Times New Roman" w:hint="default"/>
          <w:b w:val="0"/>
          <w:bCs w:val="0"/>
          <w:sz w:val="22"/>
          <w:szCs w:val="22"/>
        </w:rPr>
        <w:t xml:space="preserve">Neurologie. 1999;17‑035(10):8p. </w:t>
      </w:r>
    </w:p>
    <w:p w:rsidR="00913197" w:rsidRDefault="000341BF">
      <w:pPr>
        <w:pStyle w:val="Titre3"/>
        <w:numPr>
          <w:ilvl w:val="0"/>
          <w:numId w:val="5"/>
        </w:numPr>
        <w:shd w:val="clear" w:color="auto" w:fill="FFFFFF"/>
        <w:spacing w:beforeAutospacing="0" w:afterAutospacing="0"/>
        <w:jc w:val="both"/>
        <w:rPr>
          <w:rFonts w:ascii="Times New Roman" w:eastAsia="Segoe UI" w:hAnsi="Times New Roman" w:hint="default"/>
          <w:b w:val="0"/>
          <w:bCs w:val="0"/>
          <w:color w:val="0F1115"/>
          <w:sz w:val="22"/>
          <w:szCs w:val="22"/>
        </w:rPr>
      </w:pPr>
      <w:r>
        <w:rPr>
          <w:rFonts w:ascii="Times New Roman" w:hAnsi="Times New Roman" w:hint="default"/>
          <w:b w:val="0"/>
          <w:bCs w:val="0"/>
          <w:sz w:val="22"/>
          <w:szCs w:val="22"/>
          <w:lang w:val="fr-FR"/>
        </w:rPr>
        <w:t xml:space="preserve">Sheppard JP, Ong V, Lagman C, Udawatta M, Duong C, Nguyen T et al. </w:t>
      </w:r>
      <w:r>
        <w:rPr>
          <w:rFonts w:ascii="Times New Roman" w:hAnsi="Times New Roman" w:hint="default"/>
          <w:b w:val="0"/>
          <w:bCs w:val="0"/>
          <w:sz w:val="22"/>
          <w:szCs w:val="22"/>
        </w:rPr>
        <w:t xml:space="preserve">Systemic antimicrobial prophylaxis and antimicrobial-coated external ventricular drain catheters for preventing ventriculostomy-related infections: a meta-analysis of 5242 cases. Neurosurgery. 2020;86(1):19-29.  </w:t>
      </w:r>
    </w:p>
    <w:p w:rsidR="00913197" w:rsidRDefault="000341BF">
      <w:pPr>
        <w:pStyle w:val="Titre3"/>
        <w:numPr>
          <w:ilvl w:val="0"/>
          <w:numId w:val="5"/>
        </w:numPr>
        <w:shd w:val="clear" w:color="auto" w:fill="FFFFFF"/>
        <w:spacing w:beforeAutospacing="0" w:afterAutospacing="0"/>
        <w:jc w:val="both"/>
        <w:rPr>
          <w:rFonts w:ascii="Times New Roman" w:eastAsia="Segoe UI" w:hAnsi="Times New Roman" w:hint="default"/>
          <w:b w:val="0"/>
          <w:bCs w:val="0"/>
          <w:color w:val="0F1115"/>
          <w:sz w:val="22"/>
          <w:szCs w:val="22"/>
        </w:rPr>
      </w:pPr>
      <w:r>
        <w:rPr>
          <w:rFonts w:ascii="Times New Roman" w:hAnsi="Times New Roman" w:hint="default"/>
          <w:b w:val="0"/>
          <w:bCs w:val="0"/>
          <w:sz w:val="22"/>
          <w:szCs w:val="22"/>
          <w:lang w:val="fr-FR"/>
        </w:rPr>
        <w:t xml:space="preserve">Geeraerts T, Vigué B. Hypertension intra-crânienne en milieu non spécialisé. </w:t>
      </w:r>
      <w:r>
        <w:rPr>
          <w:rFonts w:ascii="Times New Roman" w:hAnsi="Times New Roman" w:hint="default"/>
          <w:b w:val="0"/>
          <w:bCs w:val="0"/>
          <w:sz w:val="22"/>
          <w:szCs w:val="22"/>
        </w:rPr>
        <w:t xml:space="preserve">MAPAR. 2008:151-60. </w:t>
      </w:r>
    </w:p>
    <w:p w:rsidR="00913197" w:rsidRDefault="000341BF">
      <w:pPr>
        <w:pStyle w:val="Titre3"/>
        <w:numPr>
          <w:ilvl w:val="0"/>
          <w:numId w:val="5"/>
        </w:numPr>
        <w:shd w:val="clear" w:color="auto" w:fill="FFFFFF"/>
        <w:spacing w:beforeAutospacing="0" w:afterAutospacing="0"/>
        <w:jc w:val="both"/>
        <w:rPr>
          <w:rFonts w:ascii="Times New Roman" w:eastAsia="Segoe UI" w:hAnsi="Times New Roman" w:hint="default"/>
          <w:b w:val="0"/>
          <w:bCs w:val="0"/>
          <w:color w:val="0F1115"/>
          <w:sz w:val="22"/>
          <w:szCs w:val="22"/>
          <w:lang w:val="fr-FR"/>
        </w:rPr>
      </w:pPr>
      <w:r>
        <w:rPr>
          <w:rFonts w:ascii="Times New Roman" w:hAnsi="Times New Roman" w:hint="default"/>
          <w:b w:val="0"/>
          <w:bCs w:val="0"/>
          <w:sz w:val="22"/>
          <w:szCs w:val="22"/>
          <w:lang w:val="fr-FR"/>
        </w:rPr>
        <w:t xml:space="preserve">Korinek A-M. Complications infectieuses intracrâniennes postopératoires. </w:t>
      </w:r>
      <w:r>
        <w:rPr>
          <w:rFonts w:ascii="Times New Roman" w:hAnsi="Times New Roman" w:hint="default"/>
          <w:b w:val="0"/>
          <w:bCs w:val="0"/>
          <w:sz w:val="22"/>
          <w:szCs w:val="22"/>
        </w:rPr>
        <w:t xml:space="preserve">Infectiologie en reanimation. 2013:331-2. </w:t>
      </w:r>
    </w:p>
    <w:p w:rsidR="00913197" w:rsidRDefault="000341BF">
      <w:pPr>
        <w:pStyle w:val="Titre3"/>
        <w:numPr>
          <w:ilvl w:val="0"/>
          <w:numId w:val="5"/>
        </w:numPr>
        <w:shd w:val="clear" w:color="auto" w:fill="FFFFFF"/>
        <w:spacing w:beforeAutospacing="0" w:afterAutospacing="0"/>
        <w:jc w:val="both"/>
        <w:rPr>
          <w:rFonts w:ascii="Times New Roman" w:eastAsia="Segoe UI" w:hAnsi="Times New Roman" w:hint="default"/>
          <w:b w:val="0"/>
          <w:bCs w:val="0"/>
          <w:color w:val="0F1115"/>
          <w:sz w:val="22"/>
          <w:szCs w:val="22"/>
          <w:lang w:val="fr-FR"/>
        </w:rPr>
      </w:pPr>
      <w:r>
        <w:rPr>
          <w:rFonts w:ascii="Times New Roman" w:hAnsi="Times New Roman"/>
          <w:b w:val="0"/>
          <w:bCs w:val="0"/>
          <w:color w:val="00B0F0"/>
          <w:sz w:val="22"/>
          <w:szCs w:val="22"/>
          <w:lang w:val="fr-FR"/>
        </w:rPr>
        <w:t>Assamadi </w:t>
      </w:r>
      <w:r>
        <w:rPr>
          <w:rFonts w:ascii="Times New Roman" w:hAnsi="Times New Roman" w:hint="default"/>
          <w:b w:val="0"/>
          <w:bCs w:val="0"/>
          <w:color w:val="00B0F0"/>
          <w:sz w:val="22"/>
          <w:szCs w:val="22"/>
          <w:lang w:val="fr-FR"/>
        </w:rPr>
        <w:t>M</w:t>
      </w:r>
      <w:r>
        <w:rPr>
          <w:rFonts w:ascii="Times New Roman" w:hAnsi="Times New Roman"/>
          <w:b w:val="0"/>
          <w:bCs w:val="0"/>
          <w:color w:val="00B0F0"/>
          <w:sz w:val="22"/>
          <w:szCs w:val="22"/>
          <w:lang w:val="fr-FR"/>
        </w:rPr>
        <w:t>, Benantar </w:t>
      </w:r>
      <w:r>
        <w:rPr>
          <w:rFonts w:ascii="Times New Roman" w:hAnsi="Times New Roman" w:hint="default"/>
          <w:b w:val="0"/>
          <w:bCs w:val="0"/>
          <w:color w:val="00B0F0"/>
          <w:sz w:val="22"/>
          <w:szCs w:val="22"/>
          <w:lang w:val="fr-FR"/>
        </w:rPr>
        <w:t>L</w:t>
      </w:r>
      <w:r>
        <w:rPr>
          <w:rFonts w:ascii="Times New Roman" w:hAnsi="Times New Roman"/>
          <w:b w:val="0"/>
          <w:bCs w:val="0"/>
          <w:color w:val="00B0F0"/>
          <w:sz w:val="22"/>
          <w:szCs w:val="22"/>
          <w:lang w:val="fr-FR"/>
        </w:rPr>
        <w:t>,  Ait El Qadi </w:t>
      </w:r>
      <w:r>
        <w:rPr>
          <w:rFonts w:ascii="Times New Roman" w:hAnsi="Times New Roman" w:hint="default"/>
          <w:b w:val="0"/>
          <w:bCs w:val="0"/>
          <w:color w:val="00B0F0"/>
          <w:sz w:val="22"/>
          <w:szCs w:val="22"/>
          <w:lang w:val="fr-FR"/>
        </w:rPr>
        <w:t>A</w:t>
      </w:r>
      <w:r>
        <w:rPr>
          <w:rFonts w:ascii="Times New Roman" w:hAnsi="Times New Roman"/>
          <w:b w:val="0"/>
          <w:bCs w:val="0"/>
          <w:color w:val="00B0F0"/>
          <w:sz w:val="22"/>
          <w:szCs w:val="22"/>
          <w:lang w:val="fr-FR"/>
        </w:rPr>
        <w:t>,  Abou El Hassan </w:t>
      </w:r>
      <w:r>
        <w:rPr>
          <w:rFonts w:ascii="Times New Roman" w:hAnsi="Times New Roman" w:hint="default"/>
          <w:b w:val="0"/>
          <w:bCs w:val="0"/>
          <w:color w:val="00B0F0"/>
          <w:sz w:val="22"/>
          <w:szCs w:val="22"/>
          <w:lang w:val="fr-FR"/>
        </w:rPr>
        <w:t>T</w:t>
      </w:r>
      <w:r>
        <w:rPr>
          <w:rFonts w:ascii="Times New Roman" w:hAnsi="Times New Roman"/>
          <w:b w:val="0"/>
          <w:bCs w:val="0"/>
          <w:color w:val="00B0F0"/>
          <w:sz w:val="22"/>
          <w:szCs w:val="22"/>
          <w:lang w:val="fr-FR"/>
        </w:rPr>
        <w:t>,  Aniba </w:t>
      </w:r>
      <w:r>
        <w:rPr>
          <w:rFonts w:ascii="Times New Roman" w:hAnsi="Times New Roman" w:hint="default"/>
          <w:b w:val="0"/>
          <w:bCs w:val="0"/>
          <w:color w:val="00B0F0"/>
          <w:sz w:val="22"/>
          <w:szCs w:val="22"/>
          <w:lang w:val="fr-FR"/>
        </w:rPr>
        <w:t>K.</w:t>
      </w:r>
      <w:r>
        <w:rPr>
          <w:rFonts w:ascii="Times New Roman" w:hAnsi="Times New Roman" w:hint="default"/>
          <w:b w:val="0"/>
          <w:bCs w:val="0"/>
          <w:sz w:val="22"/>
          <w:szCs w:val="22"/>
          <w:lang w:val="fr-FR"/>
        </w:rPr>
        <w:t xml:space="preserve">Aspects épidémiologiques et facteurs pronostiques des traumatismes crâniens graves. Neurochirurgie. </w:t>
      </w:r>
      <w:r>
        <w:rPr>
          <w:rFonts w:ascii="Times New Roman" w:hAnsi="Times New Roman" w:hint="default"/>
          <w:b w:val="0"/>
          <w:bCs w:val="0"/>
          <w:color w:val="00B0F0"/>
          <w:sz w:val="22"/>
          <w:szCs w:val="22"/>
          <w:lang w:val="fr-FR"/>
        </w:rPr>
        <w:t>2021;67(6):571-8.</w:t>
      </w:r>
    </w:p>
    <w:p w:rsidR="00913197" w:rsidRDefault="000341BF">
      <w:pPr>
        <w:pStyle w:val="Titre3"/>
        <w:numPr>
          <w:ilvl w:val="0"/>
          <w:numId w:val="5"/>
        </w:numPr>
        <w:shd w:val="clear" w:color="auto" w:fill="FFFFFF"/>
        <w:spacing w:beforeAutospacing="0" w:afterAutospacing="0"/>
        <w:jc w:val="both"/>
        <w:rPr>
          <w:rFonts w:ascii="Times New Roman" w:eastAsia="Segoe UI" w:hAnsi="Times New Roman" w:hint="default"/>
          <w:b w:val="0"/>
          <w:bCs w:val="0"/>
          <w:color w:val="0F1115"/>
          <w:sz w:val="22"/>
          <w:szCs w:val="22"/>
          <w:lang w:val="fr-FR"/>
        </w:rPr>
      </w:pPr>
      <w:r>
        <w:rPr>
          <w:rFonts w:ascii="Times New Roman" w:hAnsi="Times New Roman" w:hint="default"/>
          <w:b w:val="0"/>
          <w:bCs w:val="0"/>
          <w:sz w:val="22"/>
          <w:szCs w:val="22"/>
          <w:lang w:val="fr-FR"/>
        </w:rPr>
        <w:t xml:space="preserve">Samaké BM, Goita D, Diaga D, Diani N, Kéita M, Diallo A. Facteurs d’agressions cérébrales secondaires d’origine systémique des patients de réanimation traumatisés crâniens graves au C.H.U. Gabriel Touré. </w:t>
      </w:r>
      <w:r>
        <w:rPr>
          <w:rFonts w:ascii="Times New Roman" w:hAnsi="Times New Roman" w:hint="default"/>
          <w:b w:val="0"/>
          <w:bCs w:val="0"/>
          <w:sz w:val="22"/>
          <w:szCs w:val="22"/>
        </w:rPr>
        <w:t>Rev Afr Anesth Méd Urg. 2012;17(3):62‑7.</w:t>
      </w:r>
    </w:p>
    <w:p w:rsidR="00913197" w:rsidRDefault="000341BF">
      <w:pPr>
        <w:pStyle w:val="Titre3"/>
        <w:numPr>
          <w:ilvl w:val="0"/>
          <w:numId w:val="5"/>
        </w:numPr>
        <w:shd w:val="clear" w:color="auto" w:fill="FFFFFF"/>
        <w:spacing w:beforeAutospacing="0" w:afterAutospacing="0"/>
        <w:jc w:val="both"/>
        <w:rPr>
          <w:rFonts w:ascii="Times New Roman" w:eastAsia="Segoe UI" w:hAnsi="Times New Roman" w:hint="default"/>
          <w:b w:val="0"/>
          <w:bCs w:val="0"/>
          <w:color w:val="0F1115"/>
          <w:sz w:val="22"/>
          <w:szCs w:val="22"/>
          <w:lang w:val="fr-FR"/>
        </w:rPr>
      </w:pPr>
      <w:r>
        <w:rPr>
          <w:rFonts w:ascii="Times New Roman" w:hAnsi="Times New Roman" w:hint="default"/>
          <w:b w:val="0"/>
          <w:bCs w:val="0"/>
          <w:sz w:val="22"/>
          <w:szCs w:val="22"/>
          <w:lang w:val="fr-FR"/>
        </w:rPr>
        <w:t xml:space="preserve">Razafindraibe FAP, Ramarolahy ARN, Rakotomavo FA, Raveloson NE. Facteurs pronostiques des traumatismes crâniens graves à la phase aigüe auprès du Service des Urgences Chirurgicales du Centre Hospitalier Universitaire Joseph Ravoahangy Andrianavalona. Rev Anesth Reanim Med Urg Toxicol. 2022; 14(2): 60-4. </w:t>
      </w:r>
    </w:p>
    <w:p w:rsidR="00913197" w:rsidRDefault="00913197">
      <w:pPr>
        <w:pStyle w:val="Titre3"/>
        <w:shd w:val="clear" w:color="auto" w:fill="FFFFFF"/>
        <w:spacing w:before="320" w:beforeAutospacing="0" w:after="160" w:afterAutospacing="0"/>
        <w:jc w:val="both"/>
        <w:rPr>
          <w:rFonts w:ascii="Times New Roman" w:eastAsia="Segoe UI" w:hAnsi="Times New Roman" w:hint="default"/>
          <w:sz w:val="22"/>
          <w:szCs w:val="22"/>
          <w:lang w:val="fr-FR"/>
        </w:rPr>
      </w:pPr>
    </w:p>
    <w:p w:rsidR="00913197" w:rsidRDefault="00913197">
      <w:pPr>
        <w:spacing w:after="0" w:line="240" w:lineRule="auto"/>
        <w:jc w:val="both"/>
        <w:rPr>
          <w:rFonts w:ascii="Times New Roman" w:hAnsi="Times New Roman" w:cs="Times New Roman"/>
        </w:rPr>
      </w:pPr>
    </w:p>
    <w:sectPr w:rsidR="00913197" w:rsidSect="0091319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150" w:rsidRDefault="00E82150">
      <w:pPr>
        <w:spacing w:line="240" w:lineRule="auto"/>
      </w:pPr>
      <w:r>
        <w:separator/>
      </w:r>
    </w:p>
  </w:endnote>
  <w:endnote w:type="continuationSeparator" w:id="0">
    <w:p w:rsidR="00E82150" w:rsidRDefault="00E82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197" w:rsidRDefault="000341BF">
    <w:pPr>
      <w:pStyle w:val="Pieddepage"/>
      <w:jc w:val="right"/>
    </w:pPr>
    <w:r>
      <w:tab/>
    </w:r>
    <w:r>
      <w:tab/>
    </w:r>
    <w:sdt>
      <w:sdtPr>
        <w:id w:val="-1070186654"/>
      </w:sdtPr>
      <w:sdtEndPr/>
      <w:sdtContent>
        <w:r w:rsidR="00F82722">
          <w:fldChar w:fldCharType="begin"/>
        </w:r>
        <w:r>
          <w:instrText>PAGE   \* MERGEFORMAT</w:instrText>
        </w:r>
        <w:r w:rsidR="00F82722">
          <w:fldChar w:fldCharType="separate"/>
        </w:r>
        <w:r w:rsidR="000B15DA">
          <w:rPr>
            <w:noProof/>
          </w:rPr>
          <w:t>450</w:t>
        </w:r>
        <w:r w:rsidR="00F82722">
          <w:fldChar w:fldCharType="end"/>
        </w:r>
      </w:sdtContent>
    </w:sdt>
  </w:p>
  <w:p w:rsidR="00913197" w:rsidRDefault="009131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150" w:rsidRDefault="00E82150">
      <w:pPr>
        <w:spacing w:after="0"/>
      </w:pPr>
      <w:r>
        <w:separator/>
      </w:r>
    </w:p>
  </w:footnote>
  <w:footnote w:type="continuationSeparator" w:id="0">
    <w:p w:rsidR="00E82150" w:rsidRDefault="00E821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197" w:rsidRDefault="000341BF">
    <w:pPr>
      <w:pStyle w:val="En-tte"/>
    </w:pPr>
    <w:r>
      <w:rPr>
        <w:i/>
      </w:rPr>
      <w:ptab w:relativeTo="margin" w:alignment="center" w:leader="none"/>
    </w:r>
    <w:r>
      <w:rPr>
        <w:i/>
      </w:rPr>
      <w:t>Head and Neck Journal of Madagascar</w:t>
    </w:r>
    <w:r>
      <w:t>.</w:t>
    </w:r>
    <w:r w:rsidR="007A274C">
      <w:t xml:space="preserve"> 2025;7:718-25.</w:t>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859327"/>
    <w:multiLevelType w:val="singleLevel"/>
    <w:tmpl w:val="A8859327"/>
    <w:lvl w:ilvl="0">
      <w:start w:val="2"/>
      <w:numFmt w:val="decimal"/>
      <w:suff w:val="space"/>
      <w:lvlText w:val="%1."/>
      <w:lvlJc w:val="left"/>
    </w:lvl>
  </w:abstractNum>
  <w:abstractNum w:abstractNumId="1" w15:restartNumberingAfterBreak="0">
    <w:nsid w:val="AE9DDE11"/>
    <w:multiLevelType w:val="singleLevel"/>
    <w:tmpl w:val="AE9DDE11"/>
    <w:lvl w:ilvl="0">
      <w:start w:val="1"/>
      <w:numFmt w:val="decimal"/>
      <w:suff w:val="space"/>
      <w:lvlText w:val="%1."/>
      <w:lvlJc w:val="left"/>
    </w:lvl>
  </w:abstractNum>
  <w:abstractNum w:abstractNumId="2" w15:restartNumberingAfterBreak="0">
    <w:nsid w:val="B36A3F2D"/>
    <w:multiLevelType w:val="singleLevel"/>
    <w:tmpl w:val="B36A3F2D"/>
    <w:lvl w:ilvl="0">
      <w:start w:val="1"/>
      <w:numFmt w:val="decimal"/>
      <w:suff w:val="space"/>
      <w:lvlText w:val="%1."/>
      <w:lvlJc w:val="left"/>
    </w:lvl>
  </w:abstractNum>
  <w:abstractNum w:abstractNumId="3" w15:restartNumberingAfterBreak="0">
    <w:nsid w:val="FF4B2A8D"/>
    <w:multiLevelType w:val="singleLevel"/>
    <w:tmpl w:val="FF4B2A8D"/>
    <w:lvl w:ilvl="0">
      <w:start w:val="1"/>
      <w:numFmt w:val="decimal"/>
      <w:suff w:val="space"/>
      <w:lvlText w:val="%1."/>
      <w:lvlJc w:val="left"/>
    </w:lvl>
  </w:abstractNum>
  <w:abstractNum w:abstractNumId="4" w15:restartNumberingAfterBreak="0">
    <w:nsid w:val="2B423904"/>
    <w:multiLevelType w:val="singleLevel"/>
    <w:tmpl w:val="2B423904"/>
    <w:lvl w:ilvl="0">
      <w:start w:val="1"/>
      <w:numFmt w:val="decimal"/>
      <w:suff w:val="space"/>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3EAF"/>
    <w:rsid w:val="000341BF"/>
    <w:rsid w:val="00062885"/>
    <w:rsid w:val="000B15DA"/>
    <w:rsid w:val="000B23D8"/>
    <w:rsid w:val="000C1399"/>
    <w:rsid w:val="000E3EAF"/>
    <w:rsid w:val="00163068"/>
    <w:rsid w:val="001A70EE"/>
    <w:rsid w:val="001F5073"/>
    <w:rsid w:val="00223971"/>
    <w:rsid w:val="002259A0"/>
    <w:rsid w:val="0022782C"/>
    <w:rsid w:val="0028270B"/>
    <w:rsid w:val="00287BB1"/>
    <w:rsid w:val="00316FD4"/>
    <w:rsid w:val="00384A8C"/>
    <w:rsid w:val="00391B23"/>
    <w:rsid w:val="003B28D3"/>
    <w:rsid w:val="003D1427"/>
    <w:rsid w:val="003F2BF8"/>
    <w:rsid w:val="00434AD1"/>
    <w:rsid w:val="00444DB7"/>
    <w:rsid w:val="005176DE"/>
    <w:rsid w:val="00540B67"/>
    <w:rsid w:val="005568C6"/>
    <w:rsid w:val="005B5F0D"/>
    <w:rsid w:val="0062671A"/>
    <w:rsid w:val="00642053"/>
    <w:rsid w:val="00642331"/>
    <w:rsid w:val="0064495E"/>
    <w:rsid w:val="00652270"/>
    <w:rsid w:val="006540F2"/>
    <w:rsid w:val="00685DE2"/>
    <w:rsid w:val="006A563F"/>
    <w:rsid w:val="006C73A9"/>
    <w:rsid w:val="006F1D3F"/>
    <w:rsid w:val="007029AE"/>
    <w:rsid w:val="007108E8"/>
    <w:rsid w:val="007918E2"/>
    <w:rsid w:val="007A274C"/>
    <w:rsid w:val="007B2A28"/>
    <w:rsid w:val="0080583D"/>
    <w:rsid w:val="00835A7C"/>
    <w:rsid w:val="00902E15"/>
    <w:rsid w:val="00913197"/>
    <w:rsid w:val="00966746"/>
    <w:rsid w:val="009D037A"/>
    <w:rsid w:val="009E6301"/>
    <w:rsid w:val="009E7A19"/>
    <w:rsid w:val="00A03F59"/>
    <w:rsid w:val="00A24E93"/>
    <w:rsid w:val="00A32BF7"/>
    <w:rsid w:val="00A446FD"/>
    <w:rsid w:val="00A502C4"/>
    <w:rsid w:val="00A6284B"/>
    <w:rsid w:val="00A65F1F"/>
    <w:rsid w:val="00AA4212"/>
    <w:rsid w:val="00AB2C44"/>
    <w:rsid w:val="00AC6FA6"/>
    <w:rsid w:val="00AD099F"/>
    <w:rsid w:val="00B07A8E"/>
    <w:rsid w:val="00B163C8"/>
    <w:rsid w:val="00B23BC7"/>
    <w:rsid w:val="00C037C9"/>
    <w:rsid w:val="00C316A0"/>
    <w:rsid w:val="00C451CF"/>
    <w:rsid w:val="00D55C91"/>
    <w:rsid w:val="00D57110"/>
    <w:rsid w:val="00D57555"/>
    <w:rsid w:val="00D92D3F"/>
    <w:rsid w:val="00DD3C3A"/>
    <w:rsid w:val="00DF4A01"/>
    <w:rsid w:val="00E12C42"/>
    <w:rsid w:val="00E30515"/>
    <w:rsid w:val="00E36B35"/>
    <w:rsid w:val="00E460C6"/>
    <w:rsid w:val="00E82150"/>
    <w:rsid w:val="00EE12B0"/>
    <w:rsid w:val="00EF5845"/>
    <w:rsid w:val="00F51224"/>
    <w:rsid w:val="00F72620"/>
    <w:rsid w:val="00F82722"/>
    <w:rsid w:val="00F9793A"/>
    <w:rsid w:val="00FA7286"/>
    <w:rsid w:val="00FC0955"/>
    <w:rsid w:val="058810BB"/>
    <w:rsid w:val="1F932275"/>
    <w:rsid w:val="4F5D23D6"/>
    <w:rsid w:val="5F6217F9"/>
    <w:rsid w:val="6BC75F6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fillcolor="white">
      <v:fill color="white"/>
    </o:shapedefaults>
    <o:shapelayout v:ext="edit">
      <o:idmap v:ext="edit" data="1"/>
      <o:rules v:ext="edit">
        <o:r id="V:Rule1" type="connector" idref="#_x0000_s1027"/>
        <o:r id="V:Rule2" type="connector" idref="#_x0000_s1031"/>
        <o:r id="V:Rule3" type="connector" idref="#_x0000_s1029"/>
        <o:r id="V:Rule4" type="connector" idref="#_x0000_s1028"/>
        <o:r id="V:Rule5" type="connector" idref="#_x0000_s1032"/>
        <o:r id="V:Rule6" type="connector" idref="#_x0000_s1030"/>
      </o:rules>
    </o:shapelayout>
  </w:shapeDefaults>
  <w:decimalSymbol w:val=","/>
  <w:listSeparator w:val=";"/>
  <w14:docId w14:val="0712BFA5"/>
  <w15:docId w15:val="{36309ABE-5F4F-448D-8E0C-CCA24694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197"/>
    <w:pPr>
      <w:spacing w:after="200" w:line="276" w:lineRule="auto"/>
    </w:pPr>
    <w:rPr>
      <w:sz w:val="22"/>
      <w:szCs w:val="22"/>
      <w:lang w:eastAsia="en-US"/>
    </w:rPr>
  </w:style>
  <w:style w:type="paragraph" w:styleId="Titre3">
    <w:name w:val="heading 3"/>
    <w:next w:val="Normal"/>
    <w:semiHidden/>
    <w:unhideWhenUsed/>
    <w:qFormat/>
    <w:rsid w:val="00913197"/>
    <w:pPr>
      <w:spacing w:beforeAutospacing="1" w:afterAutospacing="1"/>
      <w:outlineLvl w:val="2"/>
    </w:pPr>
    <w:rPr>
      <w:rFonts w:ascii="SimSun" w:eastAsia="SimSun" w:hAnsi="SimSun" w:cs="Times New Roman" w:hint="eastAsia"/>
      <w:b/>
      <w:bCs/>
      <w:sz w:val="26"/>
      <w:szCs w:val="26"/>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sid w:val="00913197"/>
    <w:rPr>
      <w:color w:val="0000FF" w:themeColor="hyperlink"/>
      <w:u w:val="single"/>
    </w:rPr>
  </w:style>
  <w:style w:type="character" w:styleId="lev">
    <w:name w:val="Strong"/>
    <w:qFormat/>
    <w:rsid w:val="00913197"/>
    <w:rPr>
      <w:b/>
      <w:bCs/>
    </w:rPr>
  </w:style>
  <w:style w:type="character" w:styleId="Accentuation">
    <w:name w:val="Emphasis"/>
    <w:qFormat/>
    <w:rsid w:val="00913197"/>
    <w:rPr>
      <w:i/>
      <w:iCs/>
    </w:rPr>
  </w:style>
  <w:style w:type="paragraph" w:styleId="Textedebulles">
    <w:name w:val="Balloon Text"/>
    <w:basedOn w:val="Normal"/>
    <w:link w:val="TextedebullesCar"/>
    <w:uiPriority w:val="99"/>
    <w:semiHidden/>
    <w:unhideWhenUsed/>
    <w:qFormat/>
    <w:rsid w:val="00913197"/>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913197"/>
    <w:pPr>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qFormat/>
    <w:rsid w:val="00913197"/>
    <w:pPr>
      <w:tabs>
        <w:tab w:val="center" w:pos="4536"/>
        <w:tab w:val="right" w:pos="9072"/>
      </w:tabs>
      <w:spacing w:after="0" w:line="240" w:lineRule="auto"/>
    </w:pPr>
  </w:style>
  <w:style w:type="paragraph" w:styleId="En-tte">
    <w:name w:val="header"/>
    <w:basedOn w:val="Normal"/>
    <w:link w:val="En-tteCar"/>
    <w:uiPriority w:val="99"/>
    <w:unhideWhenUsed/>
    <w:qFormat/>
    <w:rsid w:val="00913197"/>
    <w:pPr>
      <w:tabs>
        <w:tab w:val="center" w:pos="4536"/>
        <w:tab w:val="right" w:pos="9072"/>
      </w:tabs>
      <w:spacing w:after="0" w:line="240" w:lineRule="auto"/>
    </w:pPr>
  </w:style>
  <w:style w:type="character" w:customStyle="1" w:styleId="En-tteCar">
    <w:name w:val="En-tête Car"/>
    <w:basedOn w:val="Policepardfaut"/>
    <w:link w:val="En-tte"/>
    <w:uiPriority w:val="99"/>
    <w:rsid w:val="00913197"/>
  </w:style>
  <w:style w:type="character" w:customStyle="1" w:styleId="PieddepageCar">
    <w:name w:val="Pied de page Car"/>
    <w:basedOn w:val="Policepardfaut"/>
    <w:link w:val="Pieddepage"/>
    <w:uiPriority w:val="99"/>
    <w:qFormat/>
    <w:rsid w:val="00913197"/>
  </w:style>
  <w:style w:type="paragraph" w:styleId="Paragraphedeliste">
    <w:name w:val="List Paragraph"/>
    <w:basedOn w:val="Normal"/>
    <w:uiPriority w:val="34"/>
    <w:qFormat/>
    <w:rsid w:val="00913197"/>
    <w:pPr>
      <w:ind w:left="720"/>
      <w:contextualSpacing/>
    </w:pPr>
  </w:style>
  <w:style w:type="character" w:customStyle="1" w:styleId="TextedebullesCar">
    <w:name w:val="Texte de bulles Car"/>
    <w:basedOn w:val="Policepardfaut"/>
    <w:link w:val="Textedebulles"/>
    <w:uiPriority w:val="99"/>
    <w:semiHidden/>
    <w:qFormat/>
    <w:rsid w:val="00913197"/>
    <w:rPr>
      <w:rFonts w:ascii="Tahoma" w:hAnsi="Tahoma" w:cs="Tahoma"/>
      <w:sz w:val="16"/>
      <w:szCs w:val="16"/>
    </w:rPr>
  </w:style>
  <w:style w:type="paragraph" w:customStyle="1" w:styleId="Bibliographie1">
    <w:name w:val="Bibliographie1"/>
    <w:basedOn w:val="Normal"/>
    <w:next w:val="Normal"/>
    <w:uiPriority w:val="37"/>
    <w:unhideWhenUsed/>
    <w:rsid w:val="00913197"/>
    <w:pPr>
      <w:spacing w:after="160" w:line="256" w:lineRule="auto"/>
    </w:pPr>
  </w:style>
  <w:style w:type="table" w:styleId="Grilledutableau">
    <w:name w:val="Table Grid"/>
    <w:basedOn w:val="TableauNormal"/>
    <w:uiPriority w:val="39"/>
    <w:qFormat/>
    <w:rsid w:val="00913197"/>
    <w:pPr>
      <w:ind w:firstLine="567"/>
      <w:jc w:val="both"/>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cademie-medecine.fr/wp-content/uploads/2021/12/Rapport-Tabagisme-pays-en-d%C3%A9veloppement-Didier-THOMAS.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hanitranadia@gmail.com"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G:\Th&#232;se%20Manantena\Base%20de%20donn&#233;es%20DV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h&#232;se%20Manantena\Base%20de%20donn&#233;es%20DVE.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Vraie%20base%20de%20donn&#233;es%20DV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472C4"/>
            </a:solidFill>
            <a:ln w="25400">
              <a:noFill/>
            </a:ln>
          </c:spPr>
          <c:invertIfNegative val="0"/>
          <c:dPt>
            <c:idx val="6"/>
            <c:invertIfNegative val="0"/>
            <c:bubble3D val="0"/>
            <c:spPr>
              <a:solidFill>
                <a:schemeClr val="accent2"/>
              </a:solidFill>
              <a:ln w="25400">
                <a:noFill/>
              </a:ln>
            </c:spPr>
            <c:extLst>
              <c:ext xmlns:c16="http://schemas.microsoft.com/office/drawing/2014/chart" uri="{C3380CC4-5D6E-409C-BE32-E72D297353CC}">
                <c16:uniqueId val="{00000000-4C58-4F21-9F03-0D10B9E6C782}"/>
              </c:ext>
            </c:extLst>
          </c:dPt>
          <c:dLbls>
            <c:dLbl>
              <c:idx val="0"/>
              <c:tx>
                <c:rich>
                  <a:bodyPr/>
                  <a:lstStyle/>
                  <a:p>
                    <a:fld id="{08C37280-6F8F-4D2A-9317-9799AE775DD3}"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C58-4F21-9F03-0D10B9E6C782}"/>
                </c:ext>
              </c:extLst>
            </c:dLbl>
            <c:dLbl>
              <c:idx val="1"/>
              <c:tx>
                <c:rich>
                  <a:bodyPr/>
                  <a:lstStyle/>
                  <a:p>
                    <a:fld id="{17196408-8ED4-4E0F-B708-B1B4C56FB970}"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C58-4F21-9F03-0D10B9E6C782}"/>
                </c:ext>
              </c:extLst>
            </c:dLbl>
            <c:dLbl>
              <c:idx val="2"/>
              <c:tx>
                <c:rich>
                  <a:bodyPr/>
                  <a:lstStyle/>
                  <a:p>
                    <a:fld id="{2B6C85F8-F481-44DA-8AAE-F6E8530FD1BE}"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C58-4F21-9F03-0D10B9E6C782}"/>
                </c:ext>
              </c:extLst>
            </c:dLbl>
            <c:dLbl>
              <c:idx val="3"/>
              <c:tx>
                <c:rich>
                  <a:bodyPr/>
                  <a:lstStyle/>
                  <a:p>
                    <a:fld id="{268633BA-58CF-485C-B638-3D370DBBF580}"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C58-4F21-9F03-0D10B9E6C782}"/>
                </c:ext>
              </c:extLst>
            </c:dLbl>
            <c:dLbl>
              <c:idx val="4"/>
              <c:tx>
                <c:rich>
                  <a:bodyPr/>
                  <a:lstStyle/>
                  <a:p>
                    <a:fld id="{217E8B8B-87C1-427F-8154-A7B23D59EC74}"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C58-4F21-9F03-0D10B9E6C782}"/>
                </c:ext>
              </c:extLst>
            </c:dLbl>
            <c:dLbl>
              <c:idx val="5"/>
              <c:tx>
                <c:rich>
                  <a:bodyPr/>
                  <a:lstStyle/>
                  <a:p>
                    <a:fld id="{9BA7DC2E-C035-4EEA-9E64-2E6D3A071BE0}"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C58-4F21-9F03-0D10B9E6C782}"/>
                </c:ext>
              </c:extLst>
            </c:dLbl>
            <c:dLbl>
              <c:idx val="6"/>
              <c:tx>
                <c:rich>
                  <a:bodyPr/>
                  <a:lstStyle/>
                  <a:p>
                    <a:fld id="{5A67BE48-76CE-4A31-AA66-02B26EA377B2}"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C58-4F21-9F03-0D10B9E6C782}"/>
                </c:ext>
              </c:extLst>
            </c:dLbl>
            <c:dLbl>
              <c:idx val="7"/>
              <c:tx>
                <c:rich>
                  <a:bodyPr/>
                  <a:lstStyle/>
                  <a:p>
                    <a:fld id="{820C1C2F-6BE0-4333-8F0D-02E44D754016}"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C58-4F21-9F03-0D10B9E6C782}"/>
                </c:ext>
              </c:extLst>
            </c:dLbl>
            <c:numFmt formatCode="0.0%" sourceLinked="0"/>
            <c:spPr>
              <a:noFill/>
              <a:ln w="25400">
                <a:noFill/>
              </a:ln>
              <a:effectLst/>
            </c:spPr>
            <c:txPr>
              <a:bodyPr rot="0" spcFirstLastPara="0" vertOverflow="ellipsis" vert="horz" wrap="square" lIns="38100" tIns="19050" rIns="38100" bIns="19050" anchor="ctr" anchorCtr="1">
                <a:spAutoFit/>
              </a:bodyPr>
              <a:lstStyle/>
              <a:p>
                <a:pPr>
                  <a:defRPr lang="fr-FR"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Résultats!$A$1:$A$8</c:f>
              <c:strCache>
                <c:ptCount val="8"/>
                <c:pt idx="0">
                  <c:v>[1-10 [ </c:v>
                </c:pt>
                <c:pt idx="1">
                  <c:v>[10-20 [</c:v>
                </c:pt>
                <c:pt idx="2">
                  <c:v>[20-30 [</c:v>
                </c:pt>
                <c:pt idx="3">
                  <c:v>[30-40 [</c:v>
                </c:pt>
                <c:pt idx="4">
                  <c:v>[40-50 [</c:v>
                </c:pt>
                <c:pt idx="5">
                  <c:v>[50-60 [</c:v>
                </c:pt>
                <c:pt idx="6">
                  <c:v>[60-70 [</c:v>
                </c:pt>
                <c:pt idx="7">
                  <c:v>[70-80 [</c:v>
                </c:pt>
              </c:strCache>
            </c:strRef>
          </c:cat>
          <c:val>
            <c:numRef>
              <c:f>Résultats!$C$1:$C$8</c:f>
              <c:numCache>
                <c:formatCode>0.00</c:formatCode>
                <c:ptCount val="8"/>
                <c:pt idx="0">
                  <c:v>0.17592592592592601</c:v>
                </c:pt>
                <c:pt idx="1">
                  <c:v>6.4814814814814839E-2</c:v>
                </c:pt>
                <c:pt idx="2">
                  <c:v>2.7777777777777846E-2</c:v>
                </c:pt>
                <c:pt idx="3">
                  <c:v>1.8518518518518514E-2</c:v>
                </c:pt>
                <c:pt idx="4">
                  <c:v>0.24074074074074112</c:v>
                </c:pt>
                <c:pt idx="5">
                  <c:v>0.17592592592592601</c:v>
                </c:pt>
                <c:pt idx="6">
                  <c:v>0.25</c:v>
                </c:pt>
                <c:pt idx="7">
                  <c:v>4.6296296296296349E-2</c:v>
                </c:pt>
              </c:numCache>
            </c:numRef>
          </c:val>
          <c:extLst>
            <c:ext xmlns:c16="http://schemas.microsoft.com/office/drawing/2014/chart" uri="{C3380CC4-5D6E-409C-BE32-E72D297353CC}">
              <c16:uniqueId val="{00000008-4C58-4F21-9F03-0D10B9E6C782}"/>
            </c:ext>
          </c:extLst>
        </c:ser>
        <c:dLbls>
          <c:showLegendKey val="0"/>
          <c:showVal val="0"/>
          <c:showCatName val="0"/>
          <c:showSerName val="0"/>
          <c:showPercent val="0"/>
          <c:showBubbleSize val="0"/>
        </c:dLbls>
        <c:gapWidth val="219"/>
        <c:overlap val="-27"/>
        <c:axId val="181697920"/>
        <c:axId val="181708288"/>
      </c:barChart>
      <c:catAx>
        <c:axId val="181697920"/>
        <c:scaling>
          <c:orientation val="minMax"/>
        </c:scaling>
        <c:delete val="0"/>
        <c:axPos val="b"/>
        <c:title>
          <c:tx>
            <c:rich>
              <a:bodyPr rot="0" spcFirstLastPara="1" vertOverflow="ellipsis" vert="horz" wrap="square" anchor="ctr" anchorCtr="1"/>
              <a:lstStyle/>
              <a:p>
                <a:pPr>
                  <a:defRPr lang="fr-FR"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sz="900"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Âge en années</a:t>
                </a:r>
              </a:p>
            </c:rich>
          </c:tx>
          <c:layout>
            <c:manualLayout>
              <c:xMode val="edge"/>
              <c:yMode val="edge"/>
              <c:x val="0.46033910395346922"/>
              <c:y val="0.8786803732866727"/>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fr-FR"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fr-FR"/>
          </a:p>
        </c:txPr>
        <c:crossAx val="181708288"/>
        <c:crosses val="autoZero"/>
        <c:auto val="1"/>
        <c:lblAlgn val="ctr"/>
        <c:lblOffset val="100"/>
        <c:noMultiLvlLbl val="0"/>
      </c:catAx>
      <c:valAx>
        <c:axId val="181708288"/>
        <c:scaling>
          <c:orientation val="minMax"/>
          <c:max val="0.30000000000000021"/>
          <c:min val="0"/>
        </c:scaling>
        <c:delete val="0"/>
        <c:axPos val="l"/>
        <c:title>
          <c:tx>
            <c:rich>
              <a:bodyPr rot="-5400000" spcFirstLastPara="1" vertOverflow="ellipsis" vert="horz" wrap="square" anchor="ctr" anchorCtr="1"/>
              <a:lstStyle/>
              <a:p>
                <a:pPr>
                  <a:defRPr lang="fr-FR"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Pourcentage</a:t>
                </a:r>
                <a:r>
                  <a:rPr lang="fr-FR" sz="900" b="1"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 en %</a:t>
                </a:r>
                <a:endParaRPr lang="fr-FR"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overlay val="0"/>
          <c:spPr>
            <a:noFill/>
            <a:ln w="25400">
              <a:noFill/>
            </a:ln>
          </c:spPr>
        </c:title>
        <c:numFmt formatCode="0%" sourceLinked="0"/>
        <c:majorTickMark val="none"/>
        <c:minorTickMark val="none"/>
        <c:tickLblPos val="nextTo"/>
        <c:spPr>
          <a:ln w="6350" cap="flat" cmpd="sng" algn="ctr">
            <a:noFill/>
            <a:prstDash val="solid"/>
            <a:round/>
          </a:ln>
        </c:spPr>
        <c:txPr>
          <a:bodyPr rot="-60000000" spcFirstLastPara="1" vertOverflow="ellipsis" vert="horz" wrap="square" anchor="ctr" anchorCtr="1"/>
          <a:lstStyle/>
          <a:p>
            <a:pPr>
              <a:defRPr lang="fr-FR"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fr-FR"/>
          </a:p>
        </c:txPr>
        <c:crossAx val="181697920"/>
        <c:crosses val="autoZero"/>
        <c:crossBetween val="between"/>
        <c:majorUnit val="5.0000000000000031E-2"/>
      </c:valAx>
      <c:spPr>
        <a:noFill/>
        <a:ln w="25400">
          <a:noFill/>
        </a:ln>
      </c:spPr>
    </c:plotArea>
    <c:plotVisOnly val="1"/>
    <c:dispBlanksAs val="gap"/>
    <c:showDLblsOverMax val="0"/>
    <c:extLst>
      <c:ext uri="{0b15fc19-7d7d-44ad-8c2d-2c3a37ce22c3}">
        <chartProps xmlns="https://web.wps.cn/et/2018/main" chartId="{b0f756c0-3181-49be-bdf8-d5c4a9521329}"/>
      </c:ext>
    </c:extLst>
  </c:chart>
  <c:spPr>
    <a:solidFill>
      <a:schemeClr val="bg1"/>
    </a:solidFill>
    <a:ln w="9525" cap="flat" cmpd="sng" algn="ctr">
      <a:noFill/>
      <a:prstDash val="solid"/>
      <a:round/>
    </a:ln>
    <a:effectLst/>
  </c:spPr>
  <c:txPr>
    <a:bodyPr/>
    <a:lstStyle/>
    <a:p>
      <a:pPr>
        <a:defRPr lang="fr-FR" sz="9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0-8D02-428C-8E6D-C4FA25BBFC3C}"/>
              </c:ext>
            </c:extLst>
          </c:dPt>
          <c:dLbls>
            <c:dLbl>
              <c:idx val="0"/>
              <c:tx>
                <c:rich>
                  <a:bodyPr/>
                  <a:lstStyle/>
                  <a:p>
                    <a:r>
                      <a:rPr lang="en-US" sz="1000"/>
                      <a:t>30,6%</a:t>
                    </a:r>
                  </a:p>
                  <a:p>
                    <a:r>
                      <a:rPr lang="en-US" sz="1000"/>
                      <a:t>n=33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02-428C-8E6D-C4FA25BBFC3C}"/>
                </c:ext>
              </c:extLst>
            </c:dLbl>
            <c:dLbl>
              <c:idx val="1"/>
              <c:tx>
                <c:rich>
                  <a:bodyPr/>
                  <a:lstStyle/>
                  <a:p>
                    <a:r>
                      <a:rPr lang="en-US" sz="1000"/>
                      <a:t>3,7%</a:t>
                    </a:r>
                    <a:r>
                      <a:rPr lang="en-US" altLang="en-US" sz="1000"/>
                      <a:t>, </a:t>
                    </a:r>
                    <a:r>
                      <a:rPr lang="en-US" sz="1000"/>
                      <a:t>n=4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02-428C-8E6D-C4FA25BBFC3C}"/>
                </c:ext>
              </c:extLst>
            </c:dLbl>
            <c:dLbl>
              <c:idx val="2"/>
              <c:tx>
                <c:rich>
                  <a:bodyPr/>
                  <a:lstStyle/>
                  <a:p>
                    <a:r>
                      <a:rPr lang="en-US" sz="1000"/>
                      <a:t>26,8%</a:t>
                    </a:r>
                  </a:p>
                  <a:p>
                    <a:r>
                      <a:rPr lang="en-US" sz="1000"/>
                      <a:t>n=29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02-428C-8E6D-C4FA25BBFC3C}"/>
                </c:ext>
              </c:extLst>
            </c:dLbl>
            <c:dLbl>
              <c:idx val="3"/>
              <c:tx>
                <c:rich>
                  <a:bodyPr/>
                  <a:lstStyle/>
                  <a:p>
                    <a:r>
                      <a:rPr lang="en-US" sz="1000"/>
                      <a:t>5,6%</a:t>
                    </a:r>
                    <a:r>
                      <a:rPr lang="en-US" altLang="en-US" sz="1000"/>
                      <a:t>, </a:t>
                    </a:r>
                    <a:r>
                      <a:rPr lang="en-US" sz="1000"/>
                      <a:t>n=6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02-428C-8E6D-C4FA25BBFC3C}"/>
                </c:ext>
              </c:extLst>
            </c:dLbl>
            <c:dLbl>
              <c:idx val="4"/>
              <c:layout>
                <c:manualLayout>
                  <c:x val="-1.8453279651065312E-2"/>
                  <c:y val="-5.5621301775147817E-3"/>
                </c:manualLayout>
              </c:layout>
              <c:tx>
                <c:rich>
                  <a:bodyPr/>
                  <a:lstStyle/>
                  <a:p>
                    <a:r>
                      <a:rPr lang="en-US" sz="1000"/>
                      <a:t>3,7%</a:t>
                    </a:r>
                    <a:r>
                      <a:rPr lang="en-US" altLang="en-US" sz="1000"/>
                      <a:t>, </a:t>
                    </a:r>
                    <a:r>
                      <a:rPr lang="en-US" sz="1000"/>
                      <a:t>n=4</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305653413856735"/>
                      <c:h val="0.20414201183431999"/>
                    </c:manualLayout>
                  </c15:layout>
                </c:ext>
                <c:ext xmlns:c16="http://schemas.microsoft.com/office/drawing/2014/chart" uri="{C3380CC4-5D6E-409C-BE32-E72D297353CC}">
                  <c16:uniqueId val="{00000004-8D02-428C-8E6D-C4FA25BBFC3C}"/>
                </c:ext>
              </c:extLst>
            </c:dLbl>
            <c:spPr>
              <a:noFill/>
              <a:ln>
                <a:noFill/>
              </a:ln>
              <a:effectLst/>
            </c:spPr>
            <c:txPr>
              <a:bodyPr rot="0" spcFirstLastPara="1" vertOverflow="ellipsis" vert="horz" wrap="square" lIns="38100" tIns="19050" rIns="38100" bIns="19050"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Résultats!$A$275:$A$279</c:f>
              <c:strCache>
                <c:ptCount val="5"/>
                <c:pt idx="0">
                  <c:v>Infections</c:v>
                </c:pt>
                <c:pt idx="1">
                  <c:v>DVE bouchée</c:v>
                </c:pt>
                <c:pt idx="2">
                  <c:v>Engagement cérébral</c:v>
                </c:pt>
                <c:pt idx="3">
                  <c:v>Etat de choc</c:v>
                </c:pt>
                <c:pt idx="4">
                  <c:v>Détresse respiratoire </c:v>
                </c:pt>
              </c:strCache>
            </c:strRef>
          </c:cat>
          <c:val>
            <c:numRef>
              <c:f>Résultats!$C$275:$C$279</c:f>
              <c:numCache>
                <c:formatCode>0.00</c:formatCode>
                <c:ptCount val="5"/>
                <c:pt idx="0">
                  <c:v>30.5555555555556</c:v>
                </c:pt>
                <c:pt idx="1">
                  <c:v>3.7037037037037002</c:v>
                </c:pt>
                <c:pt idx="2">
                  <c:v>26.851851851851823</c:v>
                </c:pt>
                <c:pt idx="3">
                  <c:v>5.5555555555555536</c:v>
                </c:pt>
                <c:pt idx="4">
                  <c:v>3.7037037037037002</c:v>
                </c:pt>
              </c:numCache>
            </c:numRef>
          </c:val>
          <c:extLst>
            <c:ext xmlns:c16="http://schemas.microsoft.com/office/drawing/2014/chart" uri="{C3380CC4-5D6E-409C-BE32-E72D297353CC}">
              <c16:uniqueId val="{00000005-8D02-428C-8E6D-C4FA25BBFC3C}"/>
            </c:ext>
          </c:extLst>
        </c:ser>
        <c:dLbls>
          <c:showLegendKey val="0"/>
          <c:showVal val="0"/>
          <c:showCatName val="0"/>
          <c:showSerName val="0"/>
          <c:showPercent val="0"/>
          <c:showBubbleSize val="0"/>
        </c:dLbls>
        <c:gapWidth val="182"/>
        <c:axId val="181726208"/>
        <c:axId val="181605504"/>
      </c:barChart>
      <c:catAx>
        <c:axId val="181726208"/>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sz="1000"/>
                  <a:t>Complications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181605504"/>
        <c:crosses val="autoZero"/>
        <c:auto val="1"/>
        <c:lblAlgn val="ctr"/>
        <c:lblOffset val="100"/>
        <c:noMultiLvlLbl val="0"/>
      </c:catAx>
      <c:valAx>
        <c:axId val="181605504"/>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sz="1000"/>
                  <a:t>Pourcentage en %</a:t>
                </a:r>
              </a:p>
            </c:rich>
          </c:tx>
          <c:overlay val="0"/>
          <c:spPr>
            <a:noFill/>
            <a:ln>
              <a:noFill/>
            </a:ln>
            <a:effectLst/>
          </c:spPr>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181726208"/>
        <c:crosses val="autoZero"/>
        <c:crossBetween val="between"/>
      </c:valAx>
      <c:spPr>
        <a:noFill/>
        <a:ln>
          <a:noFill/>
        </a:ln>
        <a:effectLst/>
      </c:spPr>
    </c:plotArea>
    <c:plotVisOnly val="1"/>
    <c:dispBlanksAs val="gap"/>
    <c:showDLblsOverMax val="0"/>
    <c:extLst>
      <c:ext uri="{0b15fc19-7d7d-44ad-8c2d-2c3a37ce22c3}">
        <chartProps xmlns="https://web.wps.cn/et/2018/main" chartId="{f2f06546-7f3e-4204-88a3-c68d0af3a825}"/>
      </c:ext>
    </c:extLst>
  </c:chart>
  <c:spPr>
    <a:solidFill>
      <a:schemeClr val="bg1"/>
    </a:solidFill>
    <a:ln w="9525" cap="flat" cmpd="sng" algn="ctr">
      <a:noFill/>
      <a:prstDash val="solid"/>
      <a:round/>
    </a:ln>
    <a:effectLst/>
  </c:spPr>
  <c:txPr>
    <a:bodyPr/>
    <a:lstStyle/>
    <a:p>
      <a:pPr>
        <a:defRPr lang="fr-FR" sz="1000">
          <a:solidFill>
            <a:sysClr val="windowText" lastClr="000000"/>
          </a:solidFill>
          <a:latin typeface="Times New Roman" panose="02020603050405020304" charset="0"/>
          <a:cs typeface="Times New Roman" panose="02020603050405020304" charset="0"/>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F5BADFF7-B5A3-48B2-8F76-8A44CF5263A2}" type="VALUE">
                      <a:rPr lang="fr-FR"/>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450-4B19-B438-7C7E4FB798CA}"/>
                </c:ext>
              </c:extLst>
            </c:dLbl>
            <c:dLbl>
              <c:idx val="1"/>
              <c:tx>
                <c:rich>
                  <a:bodyPr/>
                  <a:lstStyle/>
                  <a:p>
                    <a:fld id="{285006BB-F6D3-4816-A554-C4A59568244A}" type="VALUE">
                      <a:rPr lang="fr-FR"/>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450-4B19-B438-7C7E4FB798CA}"/>
                </c:ext>
              </c:extLst>
            </c:dLbl>
            <c:dLbl>
              <c:idx val="2"/>
              <c:tx>
                <c:rich>
                  <a:bodyPr/>
                  <a:lstStyle/>
                  <a:p>
                    <a:fld id="{9F8D5D72-352A-49A9-913E-FA338B7C7D3D}" type="VALUE">
                      <a:rPr lang="fr-FR"/>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450-4B19-B438-7C7E4FB798CA}"/>
                </c:ext>
              </c:extLst>
            </c:dLbl>
            <c:dLbl>
              <c:idx val="3"/>
              <c:tx>
                <c:rich>
                  <a:bodyPr/>
                  <a:lstStyle/>
                  <a:p>
                    <a:fld id="{51A3D1E6-F3D3-46BE-836F-A0783B582697}" type="VALUE">
                      <a:rPr lang="fr-FR"/>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450-4B19-B438-7C7E4FB798CA}"/>
                </c:ext>
              </c:extLst>
            </c:dLbl>
            <c:numFmt formatCode="0.0%" sourceLinked="0"/>
            <c:spPr>
              <a:noFill/>
              <a:ln>
                <a:noFill/>
              </a:ln>
              <a:effectLst/>
            </c:spPr>
            <c:txPr>
              <a:bodyPr rot="0" spcFirstLastPara="1" vertOverflow="ellipsis" vert="horz" wrap="square" lIns="38100" tIns="19050" rIns="38100" bIns="19050"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Feuil6!$E$6:$E$9</c:f>
              <c:strCache>
                <c:ptCount val="4"/>
                <c:pt idx="0">
                  <c:v>Deces</c:v>
                </c:pt>
                <c:pt idx="1">
                  <c:v>Transfert </c:v>
                </c:pt>
                <c:pt idx="2">
                  <c:v>SCAM</c:v>
                </c:pt>
                <c:pt idx="3">
                  <c:v>Exeat </c:v>
                </c:pt>
              </c:strCache>
            </c:strRef>
          </c:cat>
          <c:val>
            <c:numRef>
              <c:f>Feuil6!$G$6:$G$9</c:f>
              <c:numCache>
                <c:formatCode>0.0%</c:formatCode>
                <c:ptCount val="4"/>
                <c:pt idx="0">
                  <c:v>0.53703703703703698</c:v>
                </c:pt>
                <c:pt idx="1">
                  <c:v>0.36111111111111099</c:v>
                </c:pt>
                <c:pt idx="2">
                  <c:v>5.5555555555555566E-2</c:v>
                </c:pt>
                <c:pt idx="3">
                  <c:v>4.6296296296296335E-2</c:v>
                </c:pt>
              </c:numCache>
            </c:numRef>
          </c:val>
          <c:extLst>
            <c:ext xmlns:c16="http://schemas.microsoft.com/office/drawing/2014/chart" uri="{C3380CC4-5D6E-409C-BE32-E72D297353CC}">
              <c16:uniqueId val="{00000004-0450-4B19-B438-7C7E4FB798CA}"/>
            </c:ext>
          </c:extLst>
        </c:ser>
        <c:dLbls>
          <c:showLegendKey val="0"/>
          <c:showVal val="1"/>
          <c:showCatName val="0"/>
          <c:showSerName val="0"/>
          <c:showPercent val="0"/>
          <c:showBubbleSize val="0"/>
        </c:dLbls>
        <c:gapWidth val="219"/>
        <c:overlap val="-27"/>
        <c:axId val="181629696"/>
        <c:axId val="181631616"/>
      </c:barChart>
      <c:catAx>
        <c:axId val="181629696"/>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sz="1000"/>
                  <a:t>Issue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181631616"/>
        <c:crosses val="autoZero"/>
        <c:auto val="1"/>
        <c:lblAlgn val="ctr"/>
        <c:lblOffset val="100"/>
        <c:noMultiLvlLbl val="0"/>
      </c:catAx>
      <c:valAx>
        <c:axId val="181631616"/>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sz="1000"/>
                  <a:t>Pourcentage %</a:t>
                </a:r>
              </a:p>
            </c:rich>
          </c:tx>
          <c:overlay val="0"/>
          <c:spPr>
            <a:noFill/>
            <a:ln>
              <a:noFill/>
            </a:ln>
            <a:effectLst/>
          </c:spPr>
        </c:title>
        <c:numFmt formatCode="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181629696"/>
        <c:crosses val="autoZero"/>
        <c:crossBetween val="between"/>
      </c:valAx>
      <c:spPr>
        <a:noFill/>
        <a:ln>
          <a:noFill/>
        </a:ln>
        <a:effectLst/>
      </c:spPr>
    </c:plotArea>
    <c:plotVisOnly val="1"/>
    <c:dispBlanksAs val="gap"/>
    <c:showDLblsOverMax val="0"/>
    <c:extLst>
      <c:ext uri="{0b15fc19-7d7d-44ad-8c2d-2c3a37ce22c3}">
        <chartProps xmlns="https://web.wps.cn/et/2018/main" chartId="{7e169480-e648-49de-9ed5-347289297414}"/>
      </c:ext>
    </c:extLst>
  </c:chart>
  <c:spPr>
    <a:solidFill>
      <a:schemeClr val="bg1"/>
    </a:solidFill>
    <a:ln w="9525" cap="flat" cmpd="sng" algn="ctr">
      <a:noFill/>
      <a:prstDash val="solid"/>
      <a:round/>
    </a:ln>
    <a:effectLst/>
  </c:spPr>
  <c:txPr>
    <a:bodyPr/>
    <a:lstStyle/>
    <a:p>
      <a:pPr>
        <a:defRPr lang="fr-FR" sz="1000">
          <a:solidFill>
            <a:sysClr val="windowText" lastClr="000000"/>
          </a:solidFill>
          <a:latin typeface="Times New Roman" panose="02020603050405020304" charset="0"/>
          <a:cs typeface="Times New Roman" panose="02020603050405020304" charset="0"/>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4018</Words>
  <Characters>22099</Characters>
  <Application>Microsoft Office Word</Application>
  <DocSecurity>0</DocSecurity>
  <Lines>184</Lines>
  <Paragraphs>52</Paragraphs>
  <ScaleCrop>false</ScaleCrop>
  <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MOUANGUE</dc:creator>
  <cp:lastModifiedBy>RANTOU</cp:lastModifiedBy>
  <cp:revision>16</cp:revision>
  <dcterms:created xsi:type="dcterms:W3CDTF">2025-04-02T09:37:00Z</dcterms:created>
  <dcterms:modified xsi:type="dcterms:W3CDTF">2026-01-31T08:52:00Z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929543706</vt:i4>
  </property>
  <property fmtid="{D5CDD505-2E9C-101B-9397-08002B2CF9AE}" pid="3" name="KSOProductBuildVer">
    <vt:lpwstr>1036-12.2.0.23196</vt:lpwstr>
  </property>
  <property fmtid="{D5CDD505-2E9C-101B-9397-08002B2CF9AE}" pid="4" name="ICV">
    <vt:lpwstr>863ECEA186C24D5CBC3B9B28586508C7_12</vt:lpwstr>
  </property>
</Properties>
</file>